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90D3" w14:textId="1663048F" w:rsidR="009E0208" w:rsidRPr="0095333B" w:rsidRDefault="009E0208" w:rsidP="0095333B">
      <w:pPr>
        <w:pStyle w:val="Heading1"/>
      </w:pPr>
      <w:r w:rsidRPr="0095333B">
        <w:t>2024 Progress Report</w:t>
      </w:r>
      <w:r w:rsidR="00962277">
        <w:t xml:space="preserve"> Summary</w:t>
      </w:r>
      <w:r w:rsidRPr="0095333B">
        <w:t>: Implementation of the Recommendations of the Royal Commission into Aged Care Quality and Safety</w:t>
      </w:r>
    </w:p>
    <w:p w14:paraId="325696AA" w14:textId="77777777" w:rsidR="009E0208" w:rsidRPr="00C623AC" w:rsidRDefault="009E0208" w:rsidP="009E0208">
      <w:pPr>
        <w:spacing w:before="120" w:after="120"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 xml:space="preserve">The Royal Commission </w:t>
      </w:r>
      <w:r w:rsidRPr="00C623AC">
        <w:rPr>
          <w:rFonts w:asciiTheme="majorHAnsi" w:hAnsiTheme="majorHAnsi" w:cstheme="majorHAnsi"/>
        </w:rPr>
        <w:t xml:space="preserve">into Aged Care Quality and Safety (Royal Commission) </w:t>
      </w:r>
      <w:r w:rsidRPr="00C623AC">
        <w:rPr>
          <w:rFonts w:asciiTheme="majorHAnsi" w:eastAsia="Calibri" w:hAnsiTheme="majorHAnsi" w:cstheme="majorHAnsi"/>
          <w:kern w:val="2"/>
          <w:szCs w:val="22"/>
          <w14:ligatures w14:val="standardContextual"/>
        </w:rPr>
        <w:t xml:space="preserve">set out the foundations for transformational change across the aged care system. Much has been achieved in the ensuing 3 years, and much more is planned or well underway. </w:t>
      </w:r>
    </w:p>
    <w:p w14:paraId="3EDED173" w14:textId="77777777" w:rsidR="009E0208" w:rsidRPr="00C623AC" w:rsidRDefault="009E0208" w:rsidP="009E0208">
      <w:pPr>
        <w:spacing w:before="120" w:after="120" w:line="250" w:lineRule="auto"/>
        <w:rPr>
          <w:rStyle w:val="normaltextrun"/>
          <w:rFonts w:asciiTheme="majorHAnsi" w:hAnsiTheme="majorHAnsi" w:cstheme="majorHAnsi"/>
        </w:rPr>
      </w:pPr>
      <w:r w:rsidRPr="00C623AC">
        <w:rPr>
          <w:rFonts w:asciiTheme="majorHAnsi" w:eastAsia="Calibri" w:hAnsiTheme="majorHAnsi" w:cstheme="majorHAnsi"/>
          <w:kern w:val="2"/>
          <w:szCs w:val="22"/>
          <w14:ligatures w14:val="standardContextual"/>
        </w:rPr>
        <w:t xml:space="preserve">The Inspector-General of Aged Care has assessed the Australian Government’s response to each of the 148 recommendations of the Royal Commission. With a particular focus on access and navigability issues – which are widely acknowledged systemic issues in the delivery of aged care – the Inspector-General has identified the need for more ambitious action and a continued concerted effort from government.  </w:t>
      </w:r>
    </w:p>
    <w:p w14:paraId="05160385" w14:textId="77777777" w:rsidR="009E0208" w:rsidRPr="00C623AC" w:rsidRDefault="009E0208" w:rsidP="008F6492">
      <w:pPr>
        <w:spacing w:after="0" w:line="250" w:lineRule="auto"/>
        <w:rPr>
          <w:rFonts w:asciiTheme="majorHAnsi" w:eastAsia="Calibri" w:hAnsiTheme="majorHAnsi" w:cstheme="majorHAnsi"/>
          <w:kern w:val="2"/>
          <w:szCs w:val="22"/>
          <w14:ligatures w14:val="standardContextual"/>
        </w:rPr>
      </w:pPr>
      <w:r w:rsidRPr="00C623AC">
        <w:rPr>
          <w:rStyle w:val="normaltextrun"/>
          <w:rFonts w:asciiTheme="majorHAnsi" w:hAnsiTheme="majorHAnsi" w:cstheme="majorHAnsi"/>
          <w:b/>
          <w:bCs/>
        </w:rPr>
        <w:t>Attachment A</w:t>
      </w:r>
      <w:r w:rsidRPr="00C623AC">
        <w:rPr>
          <w:rStyle w:val="normaltextrun"/>
          <w:rFonts w:asciiTheme="majorHAnsi" w:hAnsiTheme="majorHAnsi" w:cstheme="majorHAnsi"/>
        </w:rPr>
        <w:t xml:space="preserve"> presents the Inspector-General’s specific observations. </w:t>
      </w:r>
      <w:r w:rsidRPr="00C623AC">
        <w:rPr>
          <w:rFonts w:asciiTheme="majorHAnsi" w:eastAsia="Calibri" w:hAnsiTheme="majorHAnsi" w:cstheme="majorHAnsi"/>
          <w:kern w:val="2"/>
          <w:szCs w:val="22"/>
          <w14:ligatures w14:val="standardContextual"/>
        </w:rPr>
        <w:t>In summary, they call on government to:</w:t>
      </w:r>
    </w:p>
    <w:p w14:paraId="3891B785" w14:textId="77777777" w:rsidR="009E0208" w:rsidRPr="00C623AC" w:rsidRDefault="009E0208" w:rsidP="009E0208">
      <w:pPr>
        <w:pStyle w:val="ListParagraph"/>
        <w:numPr>
          <w:ilvl w:val="0"/>
          <w:numId w:val="25"/>
        </w:numPr>
        <w:spacing w:after="120"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 xml:space="preserve">introduce a more seamless, demand-driven aged care system </w:t>
      </w:r>
    </w:p>
    <w:p w14:paraId="493A379E" w14:textId="77777777" w:rsidR="009E0208" w:rsidRPr="00C623AC" w:rsidRDefault="009E0208" w:rsidP="009E0208">
      <w:pPr>
        <w:pStyle w:val="ListParagraph"/>
        <w:numPr>
          <w:ilvl w:val="0"/>
          <w:numId w:val="25"/>
        </w:numPr>
        <w:spacing w:after="120"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 xml:space="preserve">improve people’s understanding of aged care </w:t>
      </w:r>
    </w:p>
    <w:p w14:paraId="59747B1E" w14:textId="77777777" w:rsidR="009E0208" w:rsidRPr="00C623AC" w:rsidRDefault="009E0208" w:rsidP="009E0208">
      <w:pPr>
        <w:pStyle w:val="ListParagraph"/>
        <w:numPr>
          <w:ilvl w:val="0"/>
          <w:numId w:val="25"/>
        </w:numPr>
        <w:spacing w:after="120"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 xml:space="preserve">ensure the system delivers high-quality, enablement-focused care </w:t>
      </w:r>
    </w:p>
    <w:p w14:paraId="64A41C1E" w14:textId="77777777" w:rsidR="009E0208" w:rsidRPr="00C623AC" w:rsidRDefault="009E0208" w:rsidP="009E0208">
      <w:pPr>
        <w:pStyle w:val="ListParagraph"/>
        <w:numPr>
          <w:ilvl w:val="0"/>
          <w:numId w:val="25"/>
        </w:numPr>
        <w:spacing w:after="120"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 xml:space="preserve">ensure sustainable provision of care that meets people’s preferences and diverse situations, and  </w:t>
      </w:r>
    </w:p>
    <w:p w14:paraId="06D78C29" w14:textId="58D2BF40" w:rsidR="009E0208" w:rsidRPr="00C623AC" w:rsidRDefault="009E0208" w:rsidP="009E0208">
      <w:pPr>
        <w:pStyle w:val="ListParagraph"/>
        <w:numPr>
          <w:ilvl w:val="0"/>
          <w:numId w:val="25"/>
        </w:numPr>
        <w:spacing w:after="120" w:line="250" w:lineRule="auto"/>
        <w:rPr>
          <w:rStyle w:val="normaltextrun"/>
          <w:rFonts w:asciiTheme="majorHAnsi" w:hAnsiTheme="majorHAnsi" w:cstheme="majorHAnsi"/>
          <w:b/>
          <w:bCs/>
          <w:u w:val="single"/>
        </w:rPr>
      </w:pPr>
      <w:r w:rsidRPr="00C623AC">
        <w:rPr>
          <w:rFonts w:asciiTheme="majorHAnsi" w:eastAsia="Calibri" w:hAnsiTheme="majorHAnsi" w:cstheme="majorHAnsi"/>
          <w:kern w:val="2"/>
          <w:szCs w:val="22"/>
          <w14:ligatures w14:val="standardContextual"/>
        </w:rPr>
        <w:t>improve integration between the healthcare and aged care systems.</w:t>
      </w:r>
      <w:r w:rsidR="0095333B" w:rsidRPr="0095333B">
        <w:rPr>
          <w:rFonts w:asciiTheme="majorHAnsi" w:hAnsiTheme="majorHAnsi" w:cstheme="majorHAnsi"/>
          <w:bCs/>
          <w:color w:val="58227B"/>
          <w:kern w:val="2"/>
          <w:sz w:val="24"/>
          <w:lang w:val="en-ZA" w:eastAsia="ko-KR"/>
          <w14:ligatures w14:val="standardContextual"/>
        </w:rPr>
        <w:t xml:space="preserve"> </w:t>
      </w:r>
    </w:p>
    <w:p w14:paraId="1628AB88" w14:textId="77777777" w:rsidR="009E0208" w:rsidRPr="0095333B" w:rsidRDefault="009E0208" w:rsidP="0095333B">
      <w:pPr>
        <w:pStyle w:val="Heading2"/>
      </w:pPr>
      <w:r w:rsidRPr="0095333B">
        <w:t>Key messages in the 2024 Progr</w:t>
      </w:r>
      <w:bookmarkStart w:id="0" w:name="_Hlk172879655"/>
      <w:r w:rsidRPr="0095333B">
        <w:t>ess</w:t>
      </w:r>
      <w:bookmarkEnd w:id="0"/>
      <w:r w:rsidRPr="0095333B">
        <w:t xml:space="preserve"> Report</w:t>
      </w:r>
    </w:p>
    <w:p w14:paraId="31494172" w14:textId="77777777" w:rsidR="009E0208" w:rsidRPr="0095333B" w:rsidRDefault="009E0208" w:rsidP="0095333B">
      <w:pPr>
        <w:pStyle w:val="Heading3"/>
      </w:pPr>
      <w:r w:rsidRPr="0095333B">
        <w:t>Access and navigability – the system architecture</w:t>
      </w:r>
    </w:p>
    <w:p w14:paraId="62607F5D" w14:textId="52887A90" w:rsidR="009E0208" w:rsidRPr="00C623AC" w:rsidRDefault="009E0208" w:rsidP="009E0208">
      <w:pPr>
        <w:spacing w:line="250" w:lineRule="auto"/>
        <w:rPr>
          <w:rFonts w:asciiTheme="majorHAnsi" w:eastAsia="Calibri" w:hAnsiTheme="majorHAnsi" w:cstheme="majorHAnsi"/>
          <w:kern w:val="2"/>
          <w14:ligatures w14:val="standardContextual"/>
        </w:rPr>
      </w:pPr>
      <w:r w:rsidRPr="00C623AC">
        <w:rPr>
          <w:rFonts w:asciiTheme="majorHAnsi" w:eastAsia="Calibri" w:hAnsiTheme="majorHAnsi" w:cstheme="majorHAnsi"/>
          <w:kern w:val="2"/>
          <w14:ligatures w14:val="standardContextual"/>
        </w:rPr>
        <w:t>Access and navigability are inherently shaped by the architectural foundations of the aged care system. In the current system, access to care is rationed. The Royal Commission called for a paradigm shift, recommending establishing a new seamless aged care program with access to care as an entitlement based on assessed need. The Inspector-General is disappointed that the government is not implementing this cornerstone reform – the new Aged Care Act and the new Support at Home Program retain a ration-based approach. As a direct consequence, older Australians with assessed needs will continue to miss out or face long delays in accessing care.</w:t>
      </w:r>
    </w:p>
    <w:p w14:paraId="2B030188" w14:textId="77777777" w:rsidR="009E0208" w:rsidRPr="00C623AC" w:rsidRDefault="009E0208" w:rsidP="0095333B">
      <w:pPr>
        <w:pStyle w:val="Heading3"/>
      </w:pPr>
      <w:r w:rsidRPr="00C623AC">
        <w:t xml:space="preserve">Improving information, </w:t>
      </w:r>
      <w:proofErr w:type="gramStart"/>
      <w:r w:rsidRPr="00C623AC">
        <w:t>navigability</w:t>
      </w:r>
      <w:proofErr w:type="gramEnd"/>
      <w:r w:rsidRPr="00C623AC">
        <w:t xml:space="preserve"> and access pathways</w:t>
      </w:r>
    </w:p>
    <w:p w14:paraId="2D5E83B7" w14:textId="77777777" w:rsidR="009E0208" w:rsidRPr="00C623AC" w:rsidRDefault="009E0208" w:rsidP="009E0208">
      <w:pPr>
        <w:spacing w:after="120"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Older Australians continue to struggle when starting their aged care ‘journey’. Despite improvements following the Royal Commission, My Aged Care needs further refinement, and the assessment process needs to be more timely and more comprehensive. Many Australians continue to wait too long for their assessment and too long to start receiving care.</w:t>
      </w:r>
    </w:p>
    <w:p w14:paraId="1DEFDDFF" w14:textId="0D32B72C" w:rsidR="009E0208" w:rsidRPr="00C623AC" w:rsidRDefault="009E0208" w:rsidP="009E0208">
      <w:pPr>
        <w:spacing w:after="120" w:line="250" w:lineRule="auto"/>
        <w:rPr>
          <w:rFonts w:asciiTheme="majorHAnsi" w:eastAsia="Calibri" w:hAnsiTheme="majorHAnsi" w:cstheme="majorHAnsi"/>
          <w:kern w:val="2"/>
          <w14:ligatures w14:val="standardContextual"/>
        </w:rPr>
      </w:pPr>
      <w:r w:rsidRPr="00C623AC">
        <w:rPr>
          <w:rFonts w:asciiTheme="majorHAnsi" w:eastAsia="Calibri" w:hAnsiTheme="majorHAnsi" w:cstheme="majorHAnsi"/>
          <w:kern w:val="2"/>
          <w14:ligatures w14:val="standardContextual"/>
        </w:rPr>
        <w:t xml:space="preserve">The Inspector-General considers there is a pressing need for government to provide more active face-to-face support for people seeking aged care. Initiatives such as ‘care finders’ and Services Australia’s Aged Care Specialist Officers are sound but too narrowly focused or insufficiently resourced to meet </w:t>
      </w:r>
      <w:r w:rsidR="008B477A">
        <w:rPr>
          <w:rFonts w:asciiTheme="majorHAnsi" w:eastAsia="Calibri" w:hAnsiTheme="majorHAnsi" w:cstheme="majorHAnsi"/>
          <w:kern w:val="2"/>
          <w14:ligatures w14:val="standardContextual"/>
        </w:rPr>
        <w:t>people</w:t>
      </w:r>
      <w:r w:rsidR="00EA51FD">
        <w:rPr>
          <w:rFonts w:asciiTheme="majorHAnsi" w:eastAsia="Calibri" w:hAnsiTheme="majorHAnsi" w:cstheme="majorHAnsi"/>
          <w:kern w:val="2"/>
          <w14:ligatures w14:val="standardContextual"/>
        </w:rPr>
        <w:t>s</w:t>
      </w:r>
      <w:r w:rsidR="008B477A">
        <w:rPr>
          <w:rFonts w:asciiTheme="majorHAnsi" w:eastAsia="Calibri" w:hAnsiTheme="majorHAnsi" w:cstheme="majorHAnsi"/>
          <w:kern w:val="2"/>
          <w14:ligatures w14:val="standardContextual"/>
        </w:rPr>
        <w:t xml:space="preserve">’ </w:t>
      </w:r>
      <w:r w:rsidRPr="00C623AC">
        <w:rPr>
          <w:rFonts w:asciiTheme="majorHAnsi" w:eastAsia="Calibri" w:hAnsiTheme="majorHAnsi" w:cstheme="majorHAnsi"/>
          <w:kern w:val="2"/>
          <w14:ligatures w14:val="standardContextual"/>
        </w:rPr>
        <w:t>need</w:t>
      </w:r>
      <w:r w:rsidR="008B477A">
        <w:rPr>
          <w:rFonts w:asciiTheme="majorHAnsi" w:eastAsia="Calibri" w:hAnsiTheme="majorHAnsi" w:cstheme="majorHAnsi"/>
          <w:kern w:val="2"/>
          <w14:ligatures w14:val="standardContextual"/>
        </w:rPr>
        <w:t>s</w:t>
      </w:r>
      <w:r w:rsidRPr="00C623AC">
        <w:rPr>
          <w:rFonts w:asciiTheme="majorHAnsi" w:eastAsia="Calibri" w:hAnsiTheme="majorHAnsi" w:cstheme="majorHAnsi"/>
          <w:kern w:val="2"/>
          <w14:ligatures w14:val="standardContextual"/>
        </w:rPr>
        <w:t xml:space="preserve">. </w:t>
      </w:r>
    </w:p>
    <w:p w14:paraId="1624434D" w14:textId="77777777" w:rsidR="009E0208" w:rsidRPr="00C623AC" w:rsidRDefault="009E0208" w:rsidP="009E0208">
      <w:pPr>
        <w:spacing w:after="120"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Similarly, star ratings – an important and useful initiative – require further development and expansion into home care to provide the level of assistance the Royal Commission envisaged for older people.</w:t>
      </w:r>
    </w:p>
    <w:p w14:paraId="08369547" w14:textId="77777777" w:rsidR="009E0208" w:rsidRPr="00C623AC" w:rsidRDefault="009E0208" w:rsidP="0095333B">
      <w:pPr>
        <w:pStyle w:val="Heading3"/>
      </w:pPr>
      <w:r w:rsidRPr="00C623AC">
        <w:t>Ensuring an appropriate and secure workforce</w:t>
      </w:r>
    </w:p>
    <w:p w14:paraId="31097007" w14:textId="77777777" w:rsidR="009E0208" w:rsidRPr="00C623AC" w:rsidRDefault="009E0208" w:rsidP="009E0208">
      <w:pPr>
        <w:spacing w:line="250" w:lineRule="auto"/>
        <w:rPr>
          <w:rFonts w:asciiTheme="majorHAnsi" w:eastAsia="Calibri" w:hAnsiTheme="majorHAnsi" w:cstheme="majorHAnsi"/>
          <w:kern w:val="2"/>
          <w14:ligatures w14:val="standardContextual"/>
        </w:rPr>
      </w:pPr>
      <w:r w:rsidRPr="00C623AC">
        <w:rPr>
          <w:rFonts w:asciiTheme="majorHAnsi" w:eastAsia="Calibri" w:hAnsiTheme="majorHAnsi" w:cstheme="majorHAnsi"/>
          <w:kern w:val="2"/>
          <w14:ligatures w14:val="standardContextual"/>
        </w:rPr>
        <w:t xml:space="preserve">Workforce shortages are an ongoing problem in aged care. Reforms are slowly progressing following the Royal Commission. The Inspector-General recognises the </w:t>
      </w:r>
      <w:proofErr w:type="gramStart"/>
      <w:r w:rsidRPr="00C623AC">
        <w:rPr>
          <w:rFonts w:asciiTheme="majorHAnsi" w:eastAsia="Calibri" w:hAnsiTheme="majorHAnsi" w:cstheme="majorHAnsi"/>
          <w:kern w:val="2"/>
          <w14:ligatures w14:val="standardContextual"/>
        </w:rPr>
        <w:t>challenges, and</w:t>
      </w:r>
      <w:proofErr w:type="gramEnd"/>
      <w:r w:rsidRPr="00C623AC">
        <w:rPr>
          <w:rFonts w:asciiTheme="majorHAnsi" w:eastAsia="Calibri" w:hAnsiTheme="majorHAnsi" w:cstheme="majorHAnsi"/>
          <w:kern w:val="2"/>
          <w14:ligatures w14:val="standardContextual"/>
        </w:rPr>
        <w:t xml:space="preserve"> calls on all levels of government to continue to work together to expedite the implementation of a broad suite of reforms to address systemic workforce issues.   </w:t>
      </w:r>
    </w:p>
    <w:p w14:paraId="521B8EF7" w14:textId="77777777" w:rsidR="009E0208" w:rsidRPr="00C623AC" w:rsidRDefault="009E0208" w:rsidP="0095333B">
      <w:pPr>
        <w:pStyle w:val="Heading3"/>
      </w:pPr>
      <w:r w:rsidRPr="00C623AC">
        <w:t>Improving access to health care and allied health care</w:t>
      </w:r>
    </w:p>
    <w:p w14:paraId="06486C15" w14:textId="77777777" w:rsidR="009E0208" w:rsidRPr="00C623AC" w:rsidRDefault="009E0208" w:rsidP="009E0208">
      <w:pPr>
        <w:spacing w:after="120" w:line="250" w:lineRule="auto"/>
        <w:rPr>
          <w:rFonts w:asciiTheme="majorHAnsi" w:eastAsia="Calibri" w:hAnsiTheme="majorHAnsi" w:cstheme="majorHAnsi"/>
          <w:kern w:val="2"/>
          <w14:ligatures w14:val="standardContextual"/>
        </w:rPr>
      </w:pPr>
      <w:r w:rsidRPr="00C623AC">
        <w:rPr>
          <w:rFonts w:asciiTheme="majorHAnsi" w:eastAsia="Calibri" w:hAnsiTheme="majorHAnsi" w:cstheme="majorHAnsi"/>
          <w:kern w:val="2"/>
          <w14:ligatures w14:val="standardContextual"/>
        </w:rPr>
        <w:t>The interface between the health and aged care systems continues to need further attention. There has been limited action taken to date. The Inspector-General is concerned that people in residential aged care may not have adequate access to a GP or other clinical services, or to comprehensive ‘enablement-focused’ care. Incentives in the current funding arrangements do not sufficiently recognise the importance of allied health services.</w:t>
      </w:r>
    </w:p>
    <w:p w14:paraId="236706A5" w14:textId="77777777" w:rsidR="009E0208" w:rsidRPr="00C623AC" w:rsidRDefault="009E0208" w:rsidP="0095333B">
      <w:pPr>
        <w:pStyle w:val="Heading3"/>
      </w:pPr>
      <w:r w:rsidRPr="00C623AC">
        <w:lastRenderedPageBreak/>
        <w:t>Improved access to respite care</w:t>
      </w:r>
    </w:p>
    <w:p w14:paraId="4276B771" w14:textId="77777777" w:rsidR="009E0208" w:rsidRPr="00C623AC" w:rsidRDefault="009E0208" w:rsidP="009E0208">
      <w:pPr>
        <w:spacing w:after="120" w:line="250" w:lineRule="auto"/>
        <w:rPr>
          <w:rFonts w:asciiTheme="majorHAnsi" w:eastAsia="Calibri" w:hAnsiTheme="majorHAnsi" w:cstheme="majorHAnsi"/>
          <w:kern w:val="2"/>
          <w14:ligatures w14:val="standardContextual"/>
        </w:rPr>
      </w:pPr>
      <w:r w:rsidRPr="00C623AC">
        <w:rPr>
          <w:rFonts w:asciiTheme="majorHAnsi" w:eastAsia="Calibri" w:hAnsiTheme="majorHAnsi" w:cstheme="majorHAnsi"/>
          <w:kern w:val="2"/>
          <w14:ligatures w14:val="standardContextual"/>
        </w:rPr>
        <w:t xml:space="preserve">Timely access to respite is critical for carers. It helps sustain caring relationships and carers’ </w:t>
      </w:r>
      <w:proofErr w:type="gramStart"/>
      <w:r w:rsidRPr="00C623AC">
        <w:rPr>
          <w:rFonts w:asciiTheme="majorHAnsi" w:eastAsia="Calibri" w:hAnsiTheme="majorHAnsi" w:cstheme="majorHAnsi"/>
          <w:kern w:val="2"/>
          <w14:ligatures w14:val="standardContextual"/>
        </w:rPr>
        <w:t>health, and</w:t>
      </w:r>
      <w:proofErr w:type="gramEnd"/>
      <w:r w:rsidRPr="00C623AC">
        <w:rPr>
          <w:rFonts w:asciiTheme="majorHAnsi" w:eastAsia="Calibri" w:hAnsiTheme="majorHAnsi" w:cstheme="majorHAnsi"/>
          <w:kern w:val="2"/>
          <w14:ligatures w14:val="standardContextual"/>
        </w:rPr>
        <w:t xml:space="preserve"> supports older people’s preferences to receive care ‘at home’. The Inspector-General is concerned that current funding for respite care may not be sufficient to encourage providers to offer this service or provide respite carers with the flexibility they seek and need.</w:t>
      </w:r>
    </w:p>
    <w:p w14:paraId="5F68392C" w14:textId="77777777" w:rsidR="009E0208" w:rsidRPr="00C623AC" w:rsidRDefault="009E0208" w:rsidP="0095333B">
      <w:pPr>
        <w:pStyle w:val="Heading3"/>
      </w:pPr>
      <w:r w:rsidRPr="00C623AC">
        <w:t>Improving dementia support</w:t>
      </w:r>
    </w:p>
    <w:p w14:paraId="3C6645FE" w14:textId="3A0DC48C" w:rsidR="009E0208" w:rsidRPr="00C623AC" w:rsidRDefault="009E0208" w:rsidP="009E0208">
      <w:pPr>
        <w:spacing w:after="120" w:line="250" w:lineRule="auto"/>
        <w:rPr>
          <w:rFonts w:asciiTheme="majorHAnsi" w:eastAsiaTheme="majorEastAsia" w:hAnsiTheme="majorHAnsi" w:cstheme="majorHAnsi"/>
          <w:szCs w:val="22"/>
        </w:rPr>
      </w:pPr>
      <w:r w:rsidRPr="00C623AC">
        <w:rPr>
          <w:rFonts w:asciiTheme="majorHAnsi" w:eastAsia="Calibri" w:hAnsiTheme="majorHAnsi" w:cstheme="majorHAnsi"/>
          <w:kern w:val="2"/>
          <w:szCs w:val="22"/>
          <w14:ligatures w14:val="standardContextual"/>
        </w:rPr>
        <w:t xml:space="preserve">The Inspector-General recognises the complexity of care needs of people living with dementia and their </w:t>
      </w:r>
      <w:proofErr w:type="spellStart"/>
      <w:r w:rsidRPr="00C623AC">
        <w:rPr>
          <w:rFonts w:asciiTheme="majorHAnsi" w:eastAsia="Calibri" w:hAnsiTheme="majorHAnsi" w:cstheme="majorHAnsi"/>
          <w:kern w:val="2"/>
          <w:szCs w:val="22"/>
          <w14:ligatures w14:val="standardContextual"/>
        </w:rPr>
        <w:t>carers</w:t>
      </w:r>
      <w:proofErr w:type="spellEnd"/>
      <w:r w:rsidRPr="00C623AC">
        <w:rPr>
          <w:rFonts w:asciiTheme="majorHAnsi" w:eastAsia="Calibri" w:hAnsiTheme="majorHAnsi" w:cstheme="majorHAnsi"/>
          <w:kern w:val="2"/>
          <w:szCs w:val="22"/>
          <w14:ligatures w14:val="standardContextual"/>
        </w:rPr>
        <w:t>.</w:t>
      </w:r>
      <w:r w:rsidRPr="00C623AC">
        <w:rPr>
          <w:rFonts w:asciiTheme="majorHAnsi" w:hAnsiTheme="majorHAnsi" w:cstheme="majorHAnsi"/>
        </w:rPr>
        <w:t xml:space="preserve"> </w:t>
      </w:r>
      <w:r w:rsidRPr="00C623AC">
        <w:rPr>
          <w:rFonts w:asciiTheme="majorHAnsi" w:eastAsia="Calibri" w:hAnsiTheme="majorHAnsi" w:cstheme="majorHAnsi"/>
          <w:kern w:val="2"/>
          <w:szCs w:val="22"/>
          <w14:ligatures w14:val="standardContextual"/>
        </w:rPr>
        <w:t xml:space="preserve">While reforms to improve access to care for people living with dementia and to establish </w:t>
      </w:r>
      <w:r w:rsidR="008B21A2">
        <w:rPr>
          <w:rFonts w:asciiTheme="majorHAnsi" w:eastAsia="Calibri" w:hAnsiTheme="majorHAnsi" w:cstheme="majorHAnsi"/>
          <w:kern w:val="2"/>
          <w:szCs w:val="22"/>
          <w14:ligatures w14:val="standardContextual"/>
        </w:rPr>
        <w:t xml:space="preserve">dementia </w:t>
      </w:r>
      <w:r w:rsidRPr="00C623AC">
        <w:rPr>
          <w:rFonts w:asciiTheme="majorHAnsi" w:eastAsia="Calibri" w:hAnsiTheme="majorHAnsi" w:cstheme="majorHAnsi"/>
          <w:kern w:val="2"/>
          <w:szCs w:val="22"/>
          <w14:ligatures w14:val="standardContextual"/>
        </w:rPr>
        <w:t>support pathways have begun, further work is needed. Awareness of, and access to, more specialist dementia care services and dementia support pathways need</w:t>
      </w:r>
      <w:r w:rsidR="008D296B">
        <w:rPr>
          <w:rFonts w:asciiTheme="majorHAnsi" w:eastAsia="Calibri" w:hAnsiTheme="majorHAnsi" w:cstheme="majorHAnsi"/>
          <w:kern w:val="2"/>
          <w:szCs w:val="22"/>
          <w14:ligatures w14:val="standardContextual"/>
        </w:rPr>
        <w:t>s</w:t>
      </w:r>
      <w:r w:rsidRPr="00C623AC">
        <w:rPr>
          <w:rFonts w:asciiTheme="majorHAnsi" w:eastAsia="Calibri" w:hAnsiTheme="majorHAnsi" w:cstheme="majorHAnsi"/>
          <w:kern w:val="2"/>
          <w:szCs w:val="22"/>
          <w14:ligatures w14:val="standardContextual"/>
        </w:rPr>
        <w:t xml:space="preserve"> to be improved and more widely promoted. Dementia-specific training should be mandatory for the aged care workforce.</w:t>
      </w:r>
    </w:p>
    <w:p w14:paraId="3A980886" w14:textId="77777777" w:rsidR="009E0208" w:rsidRPr="00C623AC" w:rsidRDefault="009E0208" w:rsidP="0095333B">
      <w:pPr>
        <w:pStyle w:val="Heading3"/>
      </w:pPr>
      <w:r w:rsidRPr="00C623AC">
        <w:t xml:space="preserve">Supporting First Nations Australians in aged care </w:t>
      </w:r>
    </w:p>
    <w:p w14:paraId="758BE20E" w14:textId="77777777" w:rsidR="009E0208" w:rsidRPr="00C623AC" w:rsidRDefault="009E0208" w:rsidP="009E0208">
      <w:pPr>
        <w:spacing w:after="120" w:line="250" w:lineRule="auto"/>
        <w:rPr>
          <w:rFonts w:asciiTheme="majorHAnsi" w:eastAsiaTheme="majorEastAsia" w:hAnsiTheme="majorHAnsi" w:cstheme="majorHAnsi"/>
          <w:b/>
          <w:sz w:val="24"/>
        </w:rPr>
      </w:pPr>
      <w:r w:rsidRPr="00C623AC">
        <w:rPr>
          <w:rFonts w:asciiTheme="majorHAnsi" w:eastAsia="Calibri" w:hAnsiTheme="majorHAnsi" w:cstheme="majorHAnsi"/>
          <w:kern w:val="2"/>
          <w:szCs w:val="22"/>
          <w14:ligatures w14:val="standardContextual"/>
        </w:rPr>
        <w:t>Culturally safe, trauma-</w:t>
      </w:r>
      <w:proofErr w:type="gramStart"/>
      <w:r w:rsidRPr="00C623AC">
        <w:rPr>
          <w:rFonts w:asciiTheme="majorHAnsi" w:eastAsia="Calibri" w:hAnsiTheme="majorHAnsi" w:cstheme="majorHAnsi"/>
          <w:kern w:val="2"/>
          <w:szCs w:val="22"/>
          <w14:ligatures w14:val="standardContextual"/>
        </w:rPr>
        <w:t>aware</w:t>
      </w:r>
      <w:proofErr w:type="gramEnd"/>
      <w:r w:rsidRPr="00C623AC">
        <w:rPr>
          <w:rFonts w:asciiTheme="majorHAnsi" w:eastAsia="Calibri" w:hAnsiTheme="majorHAnsi" w:cstheme="majorHAnsi"/>
          <w:kern w:val="2"/>
          <w:szCs w:val="22"/>
          <w14:ligatures w14:val="standardContextual"/>
        </w:rPr>
        <w:t xml:space="preserve"> and healing-informed care needs to be embedded in aged care programs to ensure First Nations Australians receive appropriate care. Further reform is also necessary to ensure the reformed aged care system </w:t>
      </w:r>
      <w:r w:rsidRPr="00C623AC">
        <w:rPr>
          <w:rFonts w:asciiTheme="majorHAnsi" w:eastAsiaTheme="majorEastAsia" w:hAnsiTheme="majorHAnsi" w:cstheme="majorHAnsi"/>
          <w:szCs w:val="22"/>
        </w:rPr>
        <w:t>meets First Nations peoples’ needs.</w:t>
      </w:r>
    </w:p>
    <w:p w14:paraId="126C2A13" w14:textId="77777777" w:rsidR="009E0208" w:rsidRPr="00C623AC" w:rsidRDefault="009E0208" w:rsidP="0095333B">
      <w:pPr>
        <w:pStyle w:val="Heading3"/>
      </w:pPr>
      <w:r w:rsidRPr="00C623AC">
        <w:t xml:space="preserve">Designing for diversity in aged care </w:t>
      </w:r>
    </w:p>
    <w:p w14:paraId="5A96DF76" w14:textId="77777777" w:rsidR="009E0208" w:rsidRPr="00C623AC" w:rsidRDefault="009E0208" w:rsidP="009E0208">
      <w:pPr>
        <w:spacing w:after="120" w:line="250" w:lineRule="auto"/>
        <w:rPr>
          <w:rFonts w:asciiTheme="majorHAnsi" w:eastAsiaTheme="majorEastAsia" w:hAnsiTheme="majorHAnsi" w:cstheme="majorHAnsi"/>
          <w:bCs/>
          <w:szCs w:val="22"/>
        </w:rPr>
      </w:pPr>
      <w:r w:rsidRPr="00C623AC">
        <w:rPr>
          <w:rFonts w:asciiTheme="majorHAnsi" w:eastAsia="Calibri" w:hAnsiTheme="majorHAnsi" w:cstheme="majorHAnsi"/>
          <w:kern w:val="2"/>
          <w:szCs w:val="22"/>
          <w14:ligatures w14:val="standardContextual"/>
        </w:rPr>
        <w:t xml:space="preserve">The government’s approach to improving access to aged care for those from diverse backgrounds has involved making reforms parallel to, or as an ‘add-on’ to, the broader aged care system. This is not to say older persons from culturally and linguistically diverse communities, LGBTQI+ adults and people with disability have not seen improvements in their aged care experiences; however, the Inspector-General supports the Royal Commission’s calls for a redesigned aged care system that embraces diversity at its core. </w:t>
      </w:r>
    </w:p>
    <w:p w14:paraId="6907936C" w14:textId="77777777" w:rsidR="009E0208" w:rsidRPr="00C623AC" w:rsidRDefault="009E0208" w:rsidP="0095333B">
      <w:pPr>
        <w:pStyle w:val="Heading3"/>
      </w:pPr>
      <w:r w:rsidRPr="00C623AC">
        <w:t xml:space="preserve">Improving access in regional, </w:t>
      </w:r>
      <w:proofErr w:type="gramStart"/>
      <w:r w:rsidRPr="00C623AC">
        <w:t>rural</w:t>
      </w:r>
      <w:proofErr w:type="gramEnd"/>
      <w:r w:rsidRPr="00C623AC">
        <w:t xml:space="preserve"> and remote communities</w:t>
      </w:r>
    </w:p>
    <w:p w14:paraId="62AF831A" w14:textId="77777777" w:rsidR="009E0208" w:rsidRPr="00C623AC" w:rsidRDefault="009E0208" w:rsidP="009E0208">
      <w:pPr>
        <w:spacing w:line="250" w:lineRule="auto"/>
        <w:rPr>
          <w:rFonts w:asciiTheme="majorHAnsi" w:eastAsia="Calibri" w:hAnsiTheme="majorHAnsi" w:cstheme="majorHAnsi"/>
          <w:kern w:val="2"/>
          <w:szCs w:val="22"/>
          <w14:ligatures w14:val="standardContextual"/>
        </w:rPr>
      </w:pPr>
      <w:r w:rsidRPr="00C623AC">
        <w:rPr>
          <w:rFonts w:asciiTheme="majorHAnsi" w:eastAsia="Calibri" w:hAnsiTheme="majorHAnsi" w:cstheme="majorHAnsi"/>
          <w:kern w:val="2"/>
          <w:szCs w:val="22"/>
          <w14:ligatures w14:val="standardContextual"/>
        </w:rPr>
        <w:t>The Inspector-General considers that t</w:t>
      </w:r>
      <w:r w:rsidRPr="00C623AC">
        <w:rPr>
          <w:rFonts w:asciiTheme="majorHAnsi" w:eastAsiaTheme="majorEastAsia" w:hAnsiTheme="majorHAnsi" w:cstheme="majorHAnsi"/>
          <w:bCs/>
          <w:szCs w:val="22"/>
        </w:rPr>
        <w:t xml:space="preserve">he availability of services, the adequacy of funding and the capacity of systems to address complex care needs should be critical government considerations in providing aged care to </w:t>
      </w:r>
      <w:r w:rsidRPr="00C623AC">
        <w:rPr>
          <w:rFonts w:asciiTheme="majorHAnsi" w:eastAsia="Calibri" w:hAnsiTheme="majorHAnsi" w:cstheme="majorHAnsi"/>
          <w:kern w:val="2"/>
          <w:szCs w:val="22"/>
          <w14:ligatures w14:val="standardContextual"/>
        </w:rPr>
        <w:t xml:space="preserve">older Australians living in regional, </w:t>
      </w:r>
      <w:proofErr w:type="gramStart"/>
      <w:r w:rsidRPr="00C623AC">
        <w:rPr>
          <w:rFonts w:asciiTheme="majorHAnsi" w:eastAsia="Calibri" w:hAnsiTheme="majorHAnsi" w:cstheme="majorHAnsi"/>
          <w:kern w:val="2"/>
          <w:szCs w:val="22"/>
          <w14:ligatures w14:val="standardContextual"/>
        </w:rPr>
        <w:t>rural</w:t>
      </w:r>
      <w:proofErr w:type="gramEnd"/>
      <w:r w:rsidRPr="00C623AC">
        <w:rPr>
          <w:rFonts w:asciiTheme="majorHAnsi" w:eastAsia="Calibri" w:hAnsiTheme="majorHAnsi" w:cstheme="majorHAnsi"/>
          <w:kern w:val="2"/>
          <w:szCs w:val="22"/>
          <w14:ligatures w14:val="standardContextual"/>
        </w:rPr>
        <w:t xml:space="preserve"> and remote communities. </w:t>
      </w:r>
    </w:p>
    <w:p w14:paraId="024579BB" w14:textId="77777777" w:rsidR="009E0208" w:rsidRPr="00C623AC" w:rsidRDefault="009E0208" w:rsidP="008F68DC">
      <w:pPr>
        <w:pStyle w:val="Heading2"/>
      </w:pPr>
      <w:r w:rsidRPr="00C623AC">
        <w:t>Inspector-General’s suggested government priorities for the next 6 months</w:t>
      </w:r>
    </w:p>
    <w:p w14:paraId="3E5BA305" w14:textId="77777777" w:rsidR="009E0208" w:rsidRPr="00C623AC" w:rsidRDefault="009E0208" w:rsidP="009E0208">
      <w:pPr>
        <w:pStyle w:val="ListParagraph"/>
        <w:numPr>
          <w:ilvl w:val="0"/>
          <w:numId w:val="24"/>
        </w:numPr>
        <w:spacing w:after="0" w:line="250" w:lineRule="auto"/>
        <w:ind w:left="284" w:hanging="284"/>
        <w:rPr>
          <w:rFonts w:asciiTheme="majorHAnsi" w:eastAsia="Calibri" w:hAnsiTheme="majorHAnsi" w:cstheme="majorHAnsi"/>
          <w:kern w:val="2"/>
          <w:szCs w:val="22"/>
          <w14:ligatures w14:val="standardContextual"/>
        </w:rPr>
      </w:pPr>
      <w:r w:rsidRPr="00C623AC">
        <w:rPr>
          <w:rFonts w:asciiTheme="majorHAnsi" w:eastAsiaTheme="majorEastAsia" w:hAnsiTheme="majorHAnsi" w:cstheme="majorHAnsi"/>
          <w:bCs/>
          <w:i/>
          <w:iCs/>
          <w:szCs w:val="22"/>
        </w:rPr>
        <w:t>Reconsider rationing:</w:t>
      </w:r>
      <w:r w:rsidRPr="00C623AC">
        <w:rPr>
          <w:rFonts w:asciiTheme="majorHAnsi" w:eastAsiaTheme="majorEastAsia" w:hAnsiTheme="majorHAnsi" w:cstheme="majorHAnsi"/>
          <w:b/>
          <w:i/>
          <w:iCs/>
          <w:szCs w:val="22"/>
        </w:rPr>
        <w:t xml:space="preserve"> </w:t>
      </w:r>
      <w:r w:rsidRPr="00C623AC">
        <w:rPr>
          <w:rFonts w:asciiTheme="majorHAnsi" w:eastAsiaTheme="majorEastAsia" w:hAnsiTheme="majorHAnsi" w:cstheme="majorHAnsi"/>
          <w:bCs/>
          <w:szCs w:val="22"/>
        </w:rPr>
        <w:t>In</w:t>
      </w:r>
      <w:r w:rsidRPr="00C623AC">
        <w:rPr>
          <w:rFonts w:asciiTheme="majorHAnsi" w:eastAsiaTheme="majorEastAsia" w:hAnsiTheme="majorHAnsi" w:cstheme="majorHAnsi"/>
          <w:b/>
          <w:i/>
          <w:iCs/>
          <w:szCs w:val="22"/>
        </w:rPr>
        <w:t xml:space="preserve"> </w:t>
      </w:r>
      <w:r w:rsidRPr="00C623AC">
        <w:rPr>
          <w:rFonts w:asciiTheme="majorHAnsi" w:eastAsia="Calibri" w:hAnsiTheme="majorHAnsi" w:cstheme="majorHAnsi"/>
          <w:kern w:val="2"/>
          <w:szCs w:val="22"/>
          <w14:ligatures w14:val="standardContextual"/>
        </w:rPr>
        <w:t>finalising the new Act, the government should revisit the Royal Commission’s recommendations to implement a new, seamless, needs-based aged care system.</w:t>
      </w:r>
    </w:p>
    <w:p w14:paraId="5C89D77A" w14:textId="77777777" w:rsidR="009E0208" w:rsidRPr="00C623AC" w:rsidRDefault="009E0208" w:rsidP="009E0208">
      <w:pPr>
        <w:pStyle w:val="ListParagraph"/>
        <w:numPr>
          <w:ilvl w:val="0"/>
          <w:numId w:val="24"/>
        </w:numPr>
        <w:spacing w:after="0" w:line="250" w:lineRule="auto"/>
        <w:ind w:left="284" w:hanging="284"/>
        <w:rPr>
          <w:rFonts w:asciiTheme="majorHAnsi" w:eastAsia="Calibri" w:hAnsiTheme="majorHAnsi" w:cstheme="majorHAnsi"/>
          <w:kern w:val="2"/>
          <w:szCs w:val="22"/>
          <w14:ligatures w14:val="standardContextual"/>
        </w:rPr>
      </w:pPr>
      <w:r w:rsidRPr="00C623AC">
        <w:rPr>
          <w:rFonts w:asciiTheme="majorHAnsi" w:hAnsiTheme="majorHAnsi" w:cstheme="majorHAnsi"/>
          <w:i/>
          <w:iCs/>
          <w:szCs w:val="22"/>
        </w:rPr>
        <w:t xml:space="preserve">Finalise the new Act: </w:t>
      </w:r>
      <w:r w:rsidRPr="00C623AC">
        <w:rPr>
          <w:rFonts w:asciiTheme="majorHAnsi" w:eastAsia="Calibri" w:hAnsiTheme="majorHAnsi" w:cstheme="majorHAnsi"/>
          <w:kern w:val="2"/>
          <w:szCs w:val="22"/>
          <w14:ligatures w14:val="standardContextual"/>
        </w:rPr>
        <w:t>A revised, complete version of the new Act and Rules should be finalised promptly.</w:t>
      </w:r>
    </w:p>
    <w:p w14:paraId="2F1C39F0" w14:textId="77777777" w:rsidR="009E0208" w:rsidRPr="00C623AC" w:rsidRDefault="009E0208" w:rsidP="009E0208">
      <w:pPr>
        <w:pStyle w:val="ListParagraph"/>
        <w:numPr>
          <w:ilvl w:val="0"/>
          <w:numId w:val="24"/>
        </w:numPr>
        <w:spacing w:after="0" w:line="250" w:lineRule="auto"/>
        <w:ind w:left="284" w:hanging="284"/>
        <w:rPr>
          <w:rFonts w:asciiTheme="majorHAnsi" w:eastAsia="Calibri" w:hAnsiTheme="majorHAnsi" w:cstheme="majorHAnsi"/>
          <w:kern w:val="2"/>
          <w:szCs w:val="22"/>
          <w14:ligatures w14:val="standardContextual"/>
        </w:rPr>
      </w:pPr>
      <w:r w:rsidRPr="00C623AC">
        <w:rPr>
          <w:rFonts w:asciiTheme="majorHAnsi" w:hAnsiTheme="majorHAnsi" w:cstheme="majorHAnsi"/>
          <w:i/>
          <w:iCs/>
          <w:szCs w:val="22"/>
        </w:rPr>
        <w:t>Additional funding for home care:</w:t>
      </w:r>
      <w:r w:rsidRPr="00C623AC">
        <w:rPr>
          <w:rFonts w:asciiTheme="majorHAnsi" w:eastAsia="Calibri" w:hAnsiTheme="majorHAnsi" w:cstheme="majorHAnsi"/>
          <w:kern w:val="2"/>
          <w:szCs w:val="22"/>
          <w14:ligatures w14:val="standardContextual"/>
        </w:rPr>
        <w:t xml:space="preserve"> Should the government be disinclined to move to a needs-based system, substantial additional funding is urgently needed to resolve unmet demand.</w:t>
      </w:r>
    </w:p>
    <w:p w14:paraId="68E78520" w14:textId="65743087" w:rsidR="009E0208" w:rsidRPr="00C623AC" w:rsidRDefault="009E0208" w:rsidP="009E0208">
      <w:pPr>
        <w:pStyle w:val="ListParagraph"/>
        <w:numPr>
          <w:ilvl w:val="0"/>
          <w:numId w:val="24"/>
        </w:numPr>
        <w:spacing w:after="0" w:line="250" w:lineRule="auto"/>
        <w:ind w:left="284" w:hanging="284"/>
        <w:rPr>
          <w:rFonts w:asciiTheme="majorHAnsi" w:eastAsia="Calibri" w:hAnsiTheme="majorHAnsi" w:cstheme="majorHAnsi"/>
          <w:i/>
          <w:iCs/>
          <w:kern w:val="2"/>
          <w:szCs w:val="22"/>
          <w14:ligatures w14:val="standardContextual"/>
        </w:rPr>
      </w:pPr>
      <w:r w:rsidRPr="00C623AC">
        <w:rPr>
          <w:rFonts w:asciiTheme="majorHAnsi" w:hAnsiTheme="majorHAnsi" w:cstheme="majorHAnsi"/>
          <w:i/>
          <w:iCs/>
          <w:szCs w:val="22"/>
        </w:rPr>
        <w:t xml:space="preserve">Build sector confidence: </w:t>
      </w:r>
      <w:r w:rsidRPr="00C623AC">
        <w:rPr>
          <w:rFonts w:asciiTheme="majorHAnsi" w:hAnsiTheme="majorHAnsi" w:cstheme="majorHAnsi"/>
          <w:szCs w:val="22"/>
        </w:rPr>
        <w:t xml:space="preserve">The government </w:t>
      </w:r>
      <w:r w:rsidR="00E503FC">
        <w:rPr>
          <w:rFonts w:asciiTheme="majorHAnsi" w:hAnsiTheme="majorHAnsi" w:cstheme="majorHAnsi"/>
          <w:szCs w:val="22"/>
        </w:rPr>
        <w:t xml:space="preserve">should </w:t>
      </w:r>
      <w:r w:rsidRPr="00C623AC">
        <w:rPr>
          <w:rFonts w:asciiTheme="majorHAnsi" w:hAnsiTheme="majorHAnsi" w:cstheme="majorHAnsi"/>
          <w:szCs w:val="22"/>
        </w:rPr>
        <w:t xml:space="preserve">prioritise and increase stakeholder engagement about the </w:t>
      </w:r>
      <w:r w:rsidRPr="00C623AC">
        <w:rPr>
          <w:rFonts w:asciiTheme="majorHAnsi" w:hAnsiTheme="majorHAnsi" w:cstheme="majorHAnsi"/>
        </w:rPr>
        <w:t>reform agenda</w:t>
      </w:r>
      <w:r w:rsidRPr="00C623AC">
        <w:rPr>
          <w:rFonts w:asciiTheme="majorHAnsi" w:hAnsiTheme="majorHAnsi" w:cstheme="majorHAnsi"/>
          <w:szCs w:val="22"/>
        </w:rPr>
        <w:t>.</w:t>
      </w:r>
    </w:p>
    <w:p w14:paraId="14EB0DC5" w14:textId="78E64941" w:rsidR="009E0208" w:rsidRPr="00C623AC" w:rsidRDefault="009E0208" w:rsidP="009E0208">
      <w:pPr>
        <w:pStyle w:val="ListParagraph"/>
        <w:numPr>
          <w:ilvl w:val="0"/>
          <w:numId w:val="24"/>
        </w:numPr>
        <w:spacing w:after="0" w:line="250" w:lineRule="auto"/>
        <w:ind w:left="284" w:hanging="284"/>
        <w:rPr>
          <w:rFonts w:asciiTheme="majorHAnsi" w:eastAsia="Calibri" w:hAnsiTheme="majorHAnsi" w:cstheme="majorHAnsi"/>
          <w:i/>
          <w:iCs/>
          <w:kern w:val="2"/>
          <w:szCs w:val="22"/>
          <w14:ligatures w14:val="standardContextual"/>
        </w:rPr>
      </w:pPr>
      <w:r w:rsidRPr="00C623AC">
        <w:rPr>
          <w:rFonts w:asciiTheme="majorHAnsi" w:eastAsia="Calibri" w:hAnsiTheme="majorHAnsi" w:cstheme="majorHAnsi"/>
          <w:i/>
          <w:iCs/>
          <w:kern w:val="2"/>
          <w:szCs w:val="22"/>
          <w14:ligatures w14:val="standardContextual"/>
        </w:rPr>
        <w:t>Address perverse incentives and outcomes:</w:t>
      </w:r>
      <w:r w:rsidRPr="00C623AC">
        <w:rPr>
          <w:rFonts w:asciiTheme="majorHAnsi" w:eastAsia="Calibri" w:hAnsiTheme="majorHAnsi" w:cstheme="majorHAnsi"/>
          <w:kern w:val="2"/>
          <w:szCs w:val="22"/>
          <w14:ligatures w14:val="standardContextual"/>
        </w:rPr>
        <w:t xml:space="preserve"> The government must carefully consider whether individual elements of the reform agenda work optimally together</w:t>
      </w:r>
      <w:r w:rsidR="001015CD" w:rsidRPr="001015CD">
        <w:rPr>
          <w:rFonts w:asciiTheme="majorHAnsi" w:eastAsia="Calibri" w:hAnsiTheme="majorHAnsi" w:cstheme="majorHAnsi"/>
          <w:kern w:val="2"/>
          <w:szCs w:val="22"/>
          <w14:ligatures w14:val="standardContextual"/>
        </w:rPr>
        <w:t xml:space="preserve"> with a view to increasing complementarity and resolving conflicts.</w:t>
      </w:r>
    </w:p>
    <w:p w14:paraId="187BFCAF" w14:textId="77777777" w:rsidR="009E0208" w:rsidRPr="00C623AC" w:rsidRDefault="009E0208" w:rsidP="009E0208">
      <w:pPr>
        <w:pStyle w:val="ListParagraph"/>
        <w:numPr>
          <w:ilvl w:val="0"/>
          <w:numId w:val="24"/>
        </w:numPr>
        <w:spacing w:line="250" w:lineRule="auto"/>
        <w:ind w:left="284" w:hanging="284"/>
        <w:rPr>
          <w:rFonts w:asciiTheme="majorHAnsi" w:eastAsia="Calibri" w:hAnsiTheme="majorHAnsi" w:cstheme="majorHAnsi"/>
          <w:i/>
          <w:iCs/>
          <w:kern w:val="2"/>
          <w:szCs w:val="22"/>
          <w14:ligatures w14:val="standardContextual"/>
        </w:rPr>
      </w:pPr>
      <w:r w:rsidRPr="00C623AC">
        <w:rPr>
          <w:rFonts w:asciiTheme="majorHAnsi" w:eastAsia="Calibri" w:hAnsiTheme="majorHAnsi" w:cstheme="majorHAnsi"/>
          <w:i/>
          <w:iCs/>
          <w:kern w:val="2"/>
          <w:szCs w:val="22"/>
          <w14:ligatures w14:val="standardContextual"/>
        </w:rPr>
        <w:t xml:space="preserve">Investigate the sufficiency of residential care funding: </w:t>
      </w:r>
      <w:r w:rsidRPr="00C623AC">
        <w:rPr>
          <w:rFonts w:asciiTheme="majorHAnsi" w:hAnsiTheme="majorHAnsi" w:cstheme="majorHAnsi"/>
        </w:rPr>
        <w:t>The government needs to examine whether current funding for regional residential aged care providers is sufficient to meet the actual cost of care.</w:t>
      </w:r>
    </w:p>
    <w:p w14:paraId="67998F4D" w14:textId="77777777" w:rsidR="009E0208" w:rsidRPr="00C623AC" w:rsidRDefault="009E0208" w:rsidP="008F68DC">
      <w:pPr>
        <w:pStyle w:val="Heading2"/>
      </w:pPr>
      <w:r w:rsidRPr="00C623AC">
        <w:t>Preparation of the report</w:t>
      </w:r>
    </w:p>
    <w:p w14:paraId="091B72FD" w14:textId="00C000AA" w:rsidR="009E0208" w:rsidRPr="00C623AC" w:rsidRDefault="009E0208" w:rsidP="009E0208">
      <w:pPr>
        <w:spacing w:before="120" w:after="120" w:line="250" w:lineRule="auto"/>
        <w:rPr>
          <w:rFonts w:asciiTheme="majorHAnsi" w:eastAsiaTheme="majorEastAsia" w:hAnsiTheme="majorHAnsi" w:cstheme="majorHAnsi"/>
          <w:szCs w:val="22"/>
        </w:rPr>
      </w:pPr>
      <w:r w:rsidRPr="00C623AC">
        <w:rPr>
          <w:rFonts w:asciiTheme="majorHAnsi" w:eastAsia="Calibri" w:hAnsiTheme="majorHAnsi" w:cstheme="majorHAnsi"/>
          <w:kern w:val="2"/>
          <w:szCs w:val="22"/>
          <w14:ligatures w14:val="standardContextual"/>
        </w:rPr>
        <w:t xml:space="preserve">The 2024 Progress Report has been prepared in response to the </w:t>
      </w:r>
      <w:r w:rsidRPr="00C623AC">
        <w:rPr>
          <w:rFonts w:asciiTheme="majorHAnsi" w:eastAsia="Calibri" w:hAnsiTheme="majorHAnsi" w:cstheme="majorHAnsi"/>
          <w:i/>
          <w:iCs/>
          <w:kern w:val="2"/>
          <w:szCs w:val="22"/>
          <w14:ligatures w14:val="standardContextual"/>
        </w:rPr>
        <w:t>Inspector-General of Aged Care Act 2023</w:t>
      </w:r>
      <w:r w:rsidRPr="00C623AC">
        <w:rPr>
          <w:rFonts w:asciiTheme="majorHAnsi" w:eastAsia="Calibri" w:hAnsiTheme="majorHAnsi" w:cstheme="majorHAnsi"/>
          <w:kern w:val="2"/>
          <w:szCs w:val="22"/>
          <w14:ligatures w14:val="standardContextual"/>
        </w:rPr>
        <w:t xml:space="preserve">, which requires the Office of the Inspector General of Aged Care to set out the Commonwealth’s measures and actions in response to the Royal Commission as </w:t>
      </w:r>
      <w:proofErr w:type="gramStart"/>
      <w:r w:rsidRPr="00C623AC">
        <w:rPr>
          <w:rFonts w:asciiTheme="majorHAnsi" w:eastAsia="Calibri" w:hAnsiTheme="majorHAnsi" w:cstheme="majorHAnsi"/>
          <w:kern w:val="2"/>
          <w:szCs w:val="22"/>
          <w14:ligatures w14:val="standardContextual"/>
        </w:rPr>
        <w:t>at</w:t>
      </w:r>
      <w:proofErr w:type="gramEnd"/>
      <w:r w:rsidRPr="00C623AC">
        <w:rPr>
          <w:rFonts w:asciiTheme="majorHAnsi" w:eastAsia="Calibri" w:hAnsiTheme="majorHAnsi" w:cstheme="majorHAnsi"/>
          <w:kern w:val="2"/>
          <w:szCs w:val="22"/>
          <w14:ligatures w14:val="standardContextual"/>
        </w:rPr>
        <w:t xml:space="preserve"> 1 January 2024. </w:t>
      </w:r>
      <w:r w:rsidRPr="00C623AC">
        <w:rPr>
          <w:rFonts w:asciiTheme="majorHAnsi" w:hAnsiTheme="majorHAnsi" w:cstheme="majorHAnsi"/>
          <w:color w:val="313131"/>
          <w:szCs w:val="22"/>
        </w:rPr>
        <w:t xml:space="preserve">To inform the </w:t>
      </w:r>
      <w:r w:rsidRPr="00C623AC">
        <w:rPr>
          <w:rStyle w:val="normaltextrun"/>
          <w:rFonts w:asciiTheme="majorHAnsi" w:hAnsiTheme="majorHAnsi" w:cstheme="majorHAnsi"/>
        </w:rPr>
        <w:t xml:space="preserve">report, the Office extensively consulted with </w:t>
      </w:r>
      <w:r w:rsidRPr="00C623AC">
        <w:rPr>
          <w:rFonts w:asciiTheme="majorHAnsi" w:hAnsiTheme="majorHAnsi" w:cstheme="majorHAnsi"/>
          <w:color w:val="313131"/>
          <w:szCs w:val="22"/>
        </w:rPr>
        <w:t xml:space="preserve">credible, experienced stakeholders, including consumer and provider peaks and advocacy organisations, people with lived experience of aged care, </w:t>
      </w:r>
      <w:r w:rsidR="009E68E3">
        <w:rPr>
          <w:rFonts w:asciiTheme="majorHAnsi" w:hAnsiTheme="majorHAnsi" w:cstheme="majorHAnsi"/>
          <w:color w:val="313131"/>
          <w:szCs w:val="22"/>
        </w:rPr>
        <w:t xml:space="preserve">aged care </w:t>
      </w:r>
      <w:r w:rsidRPr="00C623AC">
        <w:rPr>
          <w:rFonts w:asciiTheme="majorHAnsi" w:hAnsiTheme="majorHAnsi" w:cstheme="majorHAnsi"/>
          <w:color w:val="313131"/>
          <w:szCs w:val="22"/>
        </w:rPr>
        <w:t>providers and relevant government agencies. Public submissions also informed the report.</w:t>
      </w:r>
    </w:p>
    <w:p w14:paraId="424EB08F" w14:textId="77777777" w:rsidR="0043440B" w:rsidRPr="00C623AC" w:rsidRDefault="0043440B" w:rsidP="002E0ECB">
      <w:pPr>
        <w:rPr>
          <w:rFonts w:asciiTheme="majorHAnsi" w:eastAsiaTheme="majorEastAsia" w:hAnsiTheme="majorHAnsi" w:cstheme="majorHAnsi"/>
          <w:szCs w:val="22"/>
        </w:rPr>
        <w:sectPr w:rsidR="0043440B" w:rsidRPr="00C623AC" w:rsidSect="00B10A5E">
          <w:headerReference w:type="default" r:id="rId10"/>
          <w:footerReference w:type="default" r:id="rId11"/>
          <w:headerReference w:type="first" r:id="rId12"/>
          <w:footerReference w:type="first" r:id="rId13"/>
          <w:pgSz w:w="11906" w:h="16838"/>
          <w:pgMar w:top="1588" w:right="992" w:bottom="709" w:left="992" w:header="709" w:footer="380" w:gutter="0"/>
          <w:cols w:space="708"/>
          <w:titlePg/>
          <w:docGrid w:linePitch="360"/>
        </w:sectPr>
      </w:pPr>
    </w:p>
    <w:p w14:paraId="7C731193" w14:textId="335119E2" w:rsidR="00CE1E51" w:rsidRPr="00C623AC" w:rsidRDefault="008C77AB" w:rsidP="0095333B">
      <w:pPr>
        <w:pStyle w:val="Heading2"/>
      </w:pPr>
      <w:r w:rsidRPr="00C623AC">
        <w:lastRenderedPageBreak/>
        <w:t>Inspector-General Observations</w:t>
      </w:r>
      <w:r w:rsidR="00830405" w:rsidRPr="00C623AC">
        <w:rPr>
          <w:szCs w:val="22"/>
        </w:rPr>
        <w:tab/>
      </w:r>
      <w:r w:rsidR="00B10A5E">
        <w:rPr>
          <w:szCs w:val="22"/>
        </w:rPr>
        <w:tab/>
      </w:r>
      <w:r w:rsidR="00B10A5E">
        <w:rPr>
          <w:szCs w:val="22"/>
        </w:rPr>
        <w:tab/>
      </w:r>
      <w:r w:rsidR="00B10A5E">
        <w:rPr>
          <w:szCs w:val="22"/>
        </w:rPr>
        <w:tab/>
      </w:r>
      <w:r w:rsidR="00B10A5E">
        <w:rPr>
          <w:szCs w:val="22"/>
        </w:rPr>
        <w:tab/>
      </w:r>
      <w:r w:rsidR="00B10A5E">
        <w:rPr>
          <w:szCs w:val="22"/>
        </w:rPr>
        <w:tab/>
      </w:r>
      <w:r w:rsidR="00B10A5E">
        <w:rPr>
          <w:szCs w:val="22"/>
        </w:rPr>
        <w:tab/>
      </w:r>
      <w:r w:rsidR="00C40BAF" w:rsidRPr="00C623AC">
        <w:t>ATTACHMENT A</w:t>
      </w:r>
    </w:p>
    <w:tbl>
      <w:tblPr>
        <w:tblStyle w:val="TableGrid"/>
        <w:tblW w:w="9776" w:type="dxa"/>
        <w:tblLook w:val="04A0" w:firstRow="1" w:lastRow="0" w:firstColumn="1" w:lastColumn="0" w:noHBand="0" w:noVBand="1"/>
      </w:tblPr>
      <w:tblGrid>
        <w:gridCol w:w="9776"/>
      </w:tblGrid>
      <w:tr w:rsidR="00BF4D1E" w:rsidRPr="00C623AC" w14:paraId="150EF3DC" w14:textId="77777777" w:rsidTr="00CE7584">
        <w:trPr>
          <w:trHeight w:val="166"/>
        </w:trPr>
        <w:tc>
          <w:tcPr>
            <w:tcW w:w="9776" w:type="dxa"/>
            <w:shd w:val="clear" w:color="auto" w:fill="78226D" w:themeFill="accent4"/>
            <w:hideMark/>
          </w:tcPr>
          <w:p w14:paraId="32522980" w14:textId="293C75F0" w:rsidR="00BF4D1E" w:rsidRPr="00C623AC" w:rsidRDefault="00BF4D1E" w:rsidP="00AA7F45">
            <w:pPr>
              <w:spacing w:after="120"/>
              <w:rPr>
                <w:rFonts w:asciiTheme="majorHAnsi" w:hAnsiTheme="majorHAnsi" w:cstheme="majorHAnsi"/>
                <w:b/>
                <w:bCs/>
                <w:szCs w:val="22"/>
              </w:rPr>
            </w:pPr>
            <w:r w:rsidRPr="00AA7F45">
              <w:rPr>
                <w:rFonts w:asciiTheme="majorHAnsi" w:eastAsiaTheme="minorHAnsi" w:hAnsiTheme="majorHAnsi" w:cstheme="majorHAnsi"/>
                <w:b/>
                <w:bCs/>
                <w:color w:val="FFFFFF" w:themeColor="background1"/>
                <w:kern w:val="2"/>
                <w:szCs w:val="22"/>
                <w:lang w:eastAsia="en-US"/>
                <w14:ligatures w14:val="standardContextual"/>
              </w:rPr>
              <w:t>Chapter 1: Access and Navigability – the system architecture</w:t>
            </w:r>
          </w:p>
        </w:tc>
      </w:tr>
      <w:tr w:rsidR="00BF4D1E" w:rsidRPr="00C623AC" w14:paraId="249D1DAC" w14:textId="77777777" w:rsidTr="00176D85">
        <w:trPr>
          <w:trHeight w:val="503"/>
        </w:trPr>
        <w:tc>
          <w:tcPr>
            <w:tcW w:w="9776" w:type="dxa"/>
            <w:shd w:val="clear" w:color="auto" w:fill="F2F2F2" w:themeFill="background1" w:themeFillShade="F2"/>
            <w:hideMark/>
          </w:tcPr>
          <w:p w14:paraId="79AE0906" w14:textId="77777777" w:rsidR="00BF4D1E" w:rsidRPr="00C623AC" w:rsidRDefault="00BF4D1E" w:rsidP="00EC3169">
            <w:pPr>
              <w:spacing w:after="80"/>
              <w:rPr>
                <w:rFonts w:asciiTheme="majorHAnsi" w:hAnsiTheme="majorHAnsi" w:cstheme="majorHAnsi"/>
                <w:szCs w:val="22"/>
              </w:rPr>
            </w:pPr>
            <w:r w:rsidRPr="00C623AC">
              <w:rPr>
                <w:rFonts w:asciiTheme="majorHAnsi" w:hAnsiTheme="majorHAnsi" w:cstheme="majorHAnsi"/>
                <w:szCs w:val="22"/>
              </w:rPr>
              <w:t xml:space="preserve">The Inspector-General is very confident that a demand-based aged care system does not pose a threat to budget integrity and is not inconsistent with ensuring the financial sustainability of the aged care system. </w:t>
            </w:r>
          </w:p>
        </w:tc>
      </w:tr>
      <w:tr w:rsidR="00BF4D1E" w:rsidRPr="00C623AC" w14:paraId="120B44D5" w14:textId="77777777" w:rsidTr="00176D85">
        <w:trPr>
          <w:trHeight w:val="1170"/>
        </w:trPr>
        <w:tc>
          <w:tcPr>
            <w:tcW w:w="9776" w:type="dxa"/>
            <w:shd w:val="clear" w:color="auto" w:fill="F2F2F2" w:themeFill="background1" w:themeFillShade="F2"/>
            <w:hideMark/>
          </w:tcPr>
          <w:p w14:paraId="3A8817F1" w14:textId="3E17948D" w:rsidR="00BF4D1E" w:rsidRPr="00C623AC" w:rsidRDefault="00BF4D1E" w:rsidP="00EC3169">
            <w:pPr>
              <w:spacing w:after="80"/>
              <w:rPr>
                <w:rFonts w:asciiTheme="majorHAnsi" w:hAnsiTheme="majorHAnsi" w:cstheme="majorHAnsi"/>
                <w:szCs w:val="22"/>
              </w:rPr>
            </w:pPr>
            <w:r w:rsidRPr="00C623AC">
              <w:rPr>
                <w:rFonts w:asciiTheme="majorHAnsi" w:eastAsiaTheme="minorEastAsia" w:hAnsiTheme="majorHAnsi" w:cstheme="majorHAnsi"/>
                <w:szCs w:val="24"/>
                <w:lang w:eastAsia="ko-KR"/>
              </w:rPr>
              <w:t xml:space="preserve">The Inspector-General calls on the </w:t>
            </w:r>
            <w:r w:rsidR="00DC0371" w:rsidRPr="00C623AC">
              <w:rPr>
                <w:rFonts w:asciiTheme="majorHAnsi" w:eastAsiaTheme="minorEastAsia" w:hAnsiTheme="majorHAnsi" w:cstheme="majorHAnsi"/>
                <w:szCs w:val="24"/>
                <w:lang w:eastAsia="ko-KR"/>
              </w:rPr>
              <w:t>government</w:t>
            </w:r>
            <w:r w:rsidRPr="00C623AC">
              <w:rPr>
                <w:rFonts w:asciiTheme="majorHAnsi" w:eastAsiaTheme="minorEastAsia" w:hAnsiTheme="majorHAnsi" w:cstheme="majorHAnsi"/>
                <w:szCs w:val="24"/>
                <w:lang w:eastAsia="ko-KR"/>
              </w:rPr>
              <w:t xml:space="preserve"> to commit to the</w:t>
            </w:r>
            <w:r w:rsidR="009E6944" w:rsidRPr="00C623AC">
              <w:rPr>
                <w:rFonts w:asciiTheme="majorHAnsi" w:eastAsiaTheme="minorEastAsia" w:hAnsiTheme="majorHAnsi" w:cstheme="majorHAnsi"/>
                <w:szCs w:val="24"/>
                <w:lang w:eastAsia="ko-KR"/>
              </w:rPr>
              <w:t xml:space="preserve"> </w:t>
            </w:r>
            <w:r w:rsidRPr="00C623AC">
              <w:rPr>
                <w:rFonts w:asciiTheme="majorHAnsi" w:eastAsiaTheme="minorEastAsia" w:hAnsiTheme="majorHAnsi" w:cstheme="majorHAnsi"/>
                <w:szCs w:val="24"/>
                <w:lang w:eastAsia="ko-KR"/>
              </w:rPr>
              <w:t>implementation</w:t>
            </w:r>
            <w:r w:rsidRPr="00C623AC" w:rsidDel="009E6944">
              <w:rPr>
                <w:rFonts w:asciiTheme="majorHAnsi" w:eastAsiaTheme="minorEastAsia" w:hAnsiTheme="majorHAnsi" w:cstheme="majorHAnsi"/>
                <w:szCs w:val="24"/>
                <w:lang w:eastAsia="ko-KR"/>
              </w:rPr>
              <w:t xml:space="preserve">, in </w:t>
            </w:r>
            <w:proofErr w:type="gramStart"/>
            <w:r w:rsidRPr="00C623AC" w:rsidDel="009E6944">
              <w:rPr>
                <w:rFonts w:asciiTheme="majorHAnsi" w:eastAsiaTheme="minorEastAsia" w:hAnsiTheme="majorHAnsi" w:cstheme="majorHAnsi"/>
                <w:szCs w:val="24"/>
                <w:lang w:eastAsia="ko-KR"/>
              </w:rPr>
              <w:t>full,</w:t>
            </w:r>
            <w:proofErr w:type="gramEnd"/>
            <w:r w:rsidRPr="00C623AC" w:rsidDel="009E6944">
              <w:rPr>
                <w:rFonts w:asciiTheme="majorHAnsi" w:eastAsiaTheme="minorEastAsia" w:hAnsiTheme="majorHAnsi" w:cstheme="majorHAnsi"/>
                <w:szCs w:val="24"/>
                <w:lang w:eastAsia="ko-KR"/>
              </w:rPr>
              <w:t xml:space="preserve"> </w:t>
            </w:r>
            <w:r w:rsidRPr="00C623AC">
              <w:rPr>
                <w:rFonts w:asciiTheme="majorHAnsi" w:eastAsiaTheme="minorEastAsia" w:hAnsiTheme="majorHAnsi" w:cstheme="majorHAnsi"/>
                <w:szCs w:val="24"/>
                <w:lang w:eastAsia="ko-KR"/>
              </w:rPr>
              <w:t xml:space="preserve">of Royal Commission recommendations 25 and 41, which would deliver a needs-based system. Together with a rights-based new Act, these recommendations are the bedrock of the transformed new aged care system the Royal Commission envisaged. Without implementation of these recommendations, many Australians with a genuine and assessed need will continue to miss out on critical aged care services </w:t>
            </w:r>
            <w:r w:rsidR="00DC0371" w:rsidRPr="00C623AC">
              <w:rPr>
                <w:rFonts w:asciiTheme="majorHAnsi" w:eastAsiaTheme="minorEastAsia" w:hAnsiTheme="majorHAnsi" w:cstheme="majorHAnsi"/>
                <w:szCs w:val="24"/>
                <w:lang w:eastAsia="ko-KR"/>
              </w:rPr>
              <w:t>during</w:t>
            </w:r>
            <w:r w:rsidRPr="00C623AC">
              <w:rPr>
                <w:rFonts w:asciiTheme="majorHAnsi" w:eastAsiaTheme="minorEastAsia" w:hAnsiTheme="majorHAnsi" w:cstheme="majorHAnsi"/>
                <w:szCs w:val="24"/>
                <w:lang w:eastAsia="ko-KR"/>
              </w:rPr>
              <w:t xml:space="preserve"> </w:t>
            </w:r>
            <w:r w:rsidRPr="00C623AC" w:rsidDel="009E6944">
              <w:rPr>
                <w:rFonts w:asciiTheme="majorHAnsi" w:eastAsiaTheme="minorEastAsia" w:hAnsiTheme="majorHAnsi" w:cstheme="majorHAnsi"/>
                <w:szCs w:val="24"/>
                <w:lang w:eastAsia="ko-KR"/>
              </w:rPr>
              <w:t xml:space="preserve">a </w:t>
            </w:r>
            <w:r w:rsidR="00DC0371" w:rsidRPr="00C623AC">
              <w:rPr>
                <w:rFonts w:asciiTheme="majorHAnsi" w:eastAsiaTheme="minorEastAsia" w:hAnsiTheme="majorHAnsi" w:cstheme="majorHAnsi"/>
                <w:szCs w:val="24"/>
                <w:lang w:eastAsia="ko-KR"/>
              </w:rPr>
              <w:t>highly</w:t>
            </w:r>
            <w:r w:rsidRPr="00C623AC">
              <w:rPr>
                <w:rFonts w:asciiTheme="majorHAnsi" w:eastAsiaTheme="minorEastAsia" w:hAnsiTheme="majorHAnsi" w:cstheme="majorHAnsi"/>
                <w:szCs w:val="24"/>
                <w:lang w:eastAsia="ko-KR"/>
              </w:rPr>
              <w:t xml:space="preserve"> vulnerable </w:t>
            </w:r>
            <w:r w:rsidR="00DC0371" w:rsidRPr="00C623AC">
              <w:rPr>
                <w:rFonts w:asciiTheme="majorHAnsi" w:eastAsiaTheme="minorEastAsia" w:hAnsiTheme="majorHAnsi" w:cstheme="majorHAnsi"/>
                <w:szCs w:val="24"/>
                <w:lang w:eastAsia="ko-KR"/>
              </w:rPr>
              <w:t>period</w:t>
            </w:r>
            <w:r w:rsidR="00394DAE" w:rsidRPr="00C623AC">
              <w:rPr>
                <w:rFonts w:asciiTheme="majorHAnsi" w:eastAsiaTheme="minorEastAsia" w:hAnsiTheme="majorHAnsi" w:cstheme="majorHAnsi"/>
                <w:szCs w:val="24"/>
                <w:lang w:eastAsia="ko-KR"/>
              </w:rPr>
              <w:t xml:space="preserve"> </w:t>
            </w:r>
            <w:r w:rsidRPr="00C623AC">
              <w:rPr>
                <w:rFonts w:asciiTheme="majorHAnsi" w:eastAsiaTheme="minorEastAsia" w:hAnsiTheme="majorHAnsi" w:cstheme="majorHAnsi"/>
                <w:szCs w:val="24"/>
                <w:lang w:eastAsia="ko-KR"/>
              </w:rPr>
              <w:t xml:space="preserve">in their </w:t>
            </w:r>
            <w:r w:rsidR="00DC0371" w:rsidRPr="00C623AC">
              <w:rPr>
                <w:rFonts w:asciiTheme="majorHAnsi" w:eastAsiaTheme="minorEastAsia" w:hAnsiTheme="majorHAnsi" w:cstheme="majorHAnsi"/>
                <w:szCs w:val="24"/>
                <w:lang w:eastAsia="ko-KR"/>
              </w:rPr>
              <w:t>life.</w:t>
            </w:r>
          </w:p>
        </w:tc>
      </w:tr>
      <w:tr w:rsidR="00BF4D1E" w:rsidRPr="00C623AC" w14:paraId="515F332E" w14:textId="77777777" w:rsidTr="00176D85">
        <w:trPr>
          <w:trHeight w:val="590"/>
        </w:trPr>
        <w:tc>
          <w:tcPr>
            <w:tcW w:w="9776" w:type="dxa"/>
            <w:shd w:val="clear" w:color="auto" w:fill="F2F2F2" w:themeFill="background1" w:themeFillShade="F2"/>
            <w:hideMark/>
          </w:tcPr>
          <w:p w14:paraId="555C4F68" w14:textId="0E58507B" w:rsidR="00BF4D1E" w:rsidRPr="00C623AC" w:rsidRDefault="00552C07" w:rsidP="00EC3169">
            <w:pPr>
              <w:spacing w:after="80"/>
              <w:rPr>
                <w:rFonts w:asciiTheme="majorHAnsi" w:hAnsiTheme="majorHAnsi" w:cstheme="majorHAnsi"/>
                <w:szCs w:val="22"/>
              </w:rPr>
            </w:pPr>
            <w:r w:rsidRPr="00C623AC">
              <w:rPr>
                <w:rFonts w:asciiTheme="majorHAnsi" w:hAnsiTheme="majorHAnsi" w:cstheme="majorHAnsi"/>
                <w:szCs w:val="22"/>
              </w:rPr>
              <w:t>The Inspector-General recognises that moving to a needs-based system will be a significant undertaking that cannot be achieved in one Budget. The finalisation of the new Act provides an opportune time to make this commitment and establish a timeline to achieve full implementation over the medium term.</w:t>
            </w:r>
          </w:p>
        </w:tc>
      </w:tr>
      <w:tr w:rsidR="00BF4D1E" w:rsidRPr="00C623AC" w14:paraId="1880888E" w14:textId="77777777" w:rsidTr="00CE7584">
        <w:trPr>
          <w:trHeight w:val="79"/>
        </w:trPr>
        <w:tc>
          <w:tcPr>
            <w:tcW w:w="9776" w:type="dxa"/>
            <w:shd w:val="clear" w:color="auto" w:fill="78226D" w:themeFill="accent4"/>
            <w:hideMark/>
          </w:tcPr>
          <w:p w14:paraId="4C3B42DA" w14:textId="0BBAB9E5" w:rsidR="00BF4D1E" w:rsidRPr="00C623AC" w:rsidRDefault="00BF4D1E" w:rsidP="00FE48BE">
            <w:pPr>
              <w:spacing w:after="120"/>
              <w:rPr>
                <w:rFonts w:asciiTheme="majorHAnsi" w:hAnsiTheme="majorHAnsi" w:cstheme="majorHAnsi"/>
                <w:b/>
                <w:bCs/>
                <w:szCs w:val="22"/>
              </w:rPr>
            </w:pPr>
            <w:r w:rsidRPr="00FE48BE">
              <w:rPr>
                <w:rFonts w:asciiTheme="majorHAnsi" w:eastAsiaTheme="minorHAnsi" w:hAnsiTheme="majorHAnsi" w:cstheme="majorHAnsi"/>
                <w:b/>
                <w:bCs/>
                <w:color w:val="FFFFFF" w:themeColor="background1"/>
                <w:kern w:val="2"/>
                <w:szCs w:val="22"/>
                <w:lang w:eastAsia="en-US"/>
                <w14:ligatures w14:val="standardContextual"/>
              </w:rPr>
              <w:t xml:space="preserve">Chapter 2: New Aged Care Act and </w:t>
            </w:r>
            <w:r w:rsidR="002171F9">
              <w:rPr>
                <w:rFonts w:asciiTheme="majorHAnsi" w:eastAsiaTheme="minorHAnsi" w:hAnsiTheme="majorHAnsi" w:cstheme="majorHAnsi"/>
                <w:b/>
                <w:bCs/>
                <w:color w:val="FFFFFF" w:themeColor="background1"/>
                <w:kern w:val="2"/>
                <w:szCs w:val="22"/>
                <w:lang w:eastAsia="en-US"/>
                <w14:ligatures w14:val="standardContextual"/>
              </w:rPr>
              <w:t>s</w:t>
            </w:r>
            <w:r w:rsidRPr="00FE48BE">
              <w:rPr>
                <w:rFonts w:asciiTheme="majorHAnsi" w:eastAsiaTheme="minorHAnsi" w:hAnsiTheme="majorHAnsi" w:cstheme="majorHAnsi"/>
                <w:b/>
                <w:bCs/>
                <w:color w:val="FFFFFF" w:themeColor="background1"/>
                <w:kern w:val="2"/>
                <w:szCs w:val="22"/>
                <w:lang w:eastAsia="en-US"/>
                <w14:ligatures w14:val="standardContextual"/>
              </w:rPr>
              <w:t xml:space="preserve">ystem </w:t>
            </w:r>
            <w:r w:rsidR="002171F9">
              <w:rPr>
                <w:rFonts w:asciiTheme="majorHAnsi" w:eastAsiaTheme="minorHAnsi" w:hAnsiTheme="majorHAnsi" w:cstheme="majorHAnsi"/>
                <w:b/>
                <w:bCs/>
                <w:color w:val="FFFFFF" w:themeColor="background1"/>
                <w:kern w:val="2"/>
                <w:szCs w:val="22"/>
                <w:lang w:eastAsia="en-US"/>
                <w14:ligatures w14:val="standardContextual"/>
              </w:rPr>
              <w:t>r</w:t>
            </w:r>
            <w:r w:rsidRPr="00FE48BE">
              <w:rPr>
                <w:rFonts w:asciiTheme="majorHAnsi" w:eastAsiaTheme="minorHAnsi" w:hAnsiTheme="majorHAnsi" w:cstheme="majorHAnsi"/>
                <w:b/>
                <w:bCs/>
                <w:color w:val="FFFFFF" w:themeColor="background1"/>
                <w:kern w:val="2"/>
                <w:szCs w:val="22"/>
                <w:lang w:eastAsia="en-US"/>
                <w14:ligatures w14:val="standardContextual"/>
              </w:rPr>
              <w:t>edesign</w:t>
            </w:r>
          </w:p>
        </w:tc>
      </w:tr>
      <w:tr w:rsidR="00BF4D1E" w:rsidRPr="00C623AC" w14:paraId="1A27780F" w14:textId="77777777" w:rsidTr="00176D85">
        <w:trPr>
          <w:trHeight w:val="590"/>
        </w:trPr>
        <w:tc>
          <w:tcPr>
            <w:tcW w:w="9776" w:type="dxa"/>
            <w:shd w:val="clear" w:color="auto" w:fill="F2F2F2" w:themeFill="background1" w:themeFillShade="F2"/>
            <w:hideMark/>
          </w:tcPr>
          <w:p w14:paraId="16035D85" w14:textId="15608565" w:rsidR="00BF4D1E" w:rsidRPr="00C623AC" w:rsidRDefault="00490317" w:rsidP="00EC3169">
            <w:pPr>
              <w:spacing w:after="80"/>
              <w:rPr>
                <w:rFonts w:asciiTheme="majorHAnsi" w:hAnsiTheme="majorHAnsi" w:cstheme="majorHAnsi"/>
                <w:szCs w:val="22"/>
              </w:rPr>
            </w:pPr>
            <w:r w:rsidRPr="00C623AC">
              <w:rPr>
                <w:rFonts w:asciiTheme="majorHAnsi" w:hAnsiTheme="majorHAnsi" w:cstheme="majorHAnsi"/>
                <w:szCs w:val="22"/>
              </w:rPr>
              <w:t>The Inspector-General recognises the imperative of ensuring the new Act establishes a robust rights-based framework. In that regard, the Inspector-General stresses the need for fulsome engagement with stakeholders’ views on ways to enhance the operation of human rights.</w:t>
            </w:r>
          </w:p>
        </w:tc>
      </w:tr>
      <w:tr w:rsidR="00BF4D1E" w:rsidRPr="00C623AC" w14:paraId="5BC37BE8" w14:textId="77777777" w:rsidTr="00176D85">
        <w:trPr>
          <w:trHeight w:val="900"/>
        </w:trPr>
        <w:tc>
          <w:tcPr>
            <w:tcW w:w="9776" w:type="dxa"/>
            <w:shd w:val="clear" w:color="auto" w:fill="F2F2F2" w:themeFill="background1" w:themeFillShade="F2"/>
            <w:hideMark/>
          </w:tcPr>
          <w:p w14:paraId="77358886" w14:textId="7F34F386" w:rsidR="00BF4D1E" w:rsidRPr="00C623AC" w:rsidRDefault="00F623E1" w:rsidP="00EC3169">
            <w:pPr>
              <w:spacing w:after="80"/>
              <w:rPr>
                <w:rFonts w:asciiTheme="majorHAnsi" w:hAnsiTheme="majorHAnsi" w:cstheme="majorHAnsi"/>
                <w:szCs w:val="22"/>
              </w:rPr>
            </w:pPr>
            <w:r w:rsidRPr="00C623AC">
              <w:rPr>
                <w:rFonts w:asciiTheme="majorHAnsi" w:hAnsiTheme="majorHAnsi" w:cstheme="majorHAnsi"/>
                <w:szCs w:val="22"/>
              </w:rPr>
              <w:t>The Inspector-General considers that intelligence derived from complaints can have a significant positive impact on the effectiveness of compliance action. Strong systems are, however, needed to ensure the Complaints Commissioner’s investigations are, and are perceived to be, beyond the influence of the rest of the Aged Care Quality and Safety Commission’s (ACQSC’s) leadership.</w:t>
            </w:r>
          </w:p>
        </w:tc>
      </w:tr>
      <w:tr w:rsidR="00BF4D1E" w:rsidRPr="00C623AC" w14:paraId="3294D37C" w14:textId="77777777" w:rsidTr="00176D85">
        <w:trPr>
          <w:trHeight w:val="300"/>
        </w:trPr>
        <w:tc>
          <w:tcPr>
            <w:tcW w:w="9776" w:type="dxa"/>
            <w:shd w:val="clear" w:color="auto" w:fill="F2F2F2" w:themeFill="background1" w:themeFillShade="F2"/>
            <w:hideMark/>
          </w:tcPr>
          <w:p w14:paraId="75755D9A" w14:textId="4B3BBB55" w:rsidR="00BF4D1E" w:rsidRPr="00C623AC" w:rsidRDefault="00E862A3" w:rsidP="00EC3169">
            <w:pPr>
              <w:spacing w:after="80"/>
              <w:rPr>
                <w:rFonts w:asciiTheme="majorHAnsi" w:hAnsiTheme="majorHAnsi" w:cstheme="majorHAnsi"/>
                <w:szCs w:val="22"/>
              </w:rPr>
            </w:pPr>
            <w:r w:rsidRPr="00C623AC">
              <w:rPr>
                <w:rFonts w:asciiTheme="majorHAnsi" w:hAnsiTheme="majorHAnsi" w:cstheme="majorHAnsi"/>
                <w:szCs w:val="22"/>
              </w:rPr>
              <w:t>The Inspector-General has identified a need for the government to take proactive steps to ensure that consumer demand is measured, and shortfalls promptly addressed.</w:t>
            </w:r>
          </w:p>
        </w:tc>
      </w:tr>
      <w:tr w:rsidR="00BF4D1E" w:rsidRPr="00C623AC" w14:paraId="1FDFA18F" w14:textId="77777777" w:rsidTr="00176D85">
        <w:trPr>
          <w:trHeight w:val="1170"/>
        </w:trPr>
        <w:tc>
          <w:tcPr>
            <w:tcW w:w="9776" w:type="dxa"/>
            <w:shd w:val="clear" w:color="auto" w:fill="F2F2F2" w:themeFill="background1" w:themeFillShade="F2"/>
            <w:hideMark/>
          </w:tcPr>
          <w:p w14:paraId="1281FD50" w14:textId="347F1F2B" w:rsidR="00BF4D1E" w:rsidRPr="00C623AC" w:rsidRDefault="00406D82" w:rsidP="00EC3169">
            <w:pPr>
              <w:spacing w:after="80"/>
              <w:rPr>
                <w:rFonts w:asciiTheme="majorHAnsi" w:hAnsiTheme="majorHAnsi" w:cstheme="majorHAnsi"/>
                <w:szCs w:val="22"/>
              </w:rPr>
            </w:pPr>
            <w:r w:rsidRPr="00C623AC">
              <w:rPr>
                <w:rFonts w:asciiTheme="majorHAnsi" w:hAnsiTheme="majorHAnsi" w:cstheme="majorHAnsi"/>
                <w:szCs w:val="22"/>
              </w:rPr>
              <w:t>The Inspector-General appreciates the reasons for the delay in incorporating the Commonwealth Home Support Programme (CHSP) into Support at Home. Ahead of the transition, the Inspector-General advocates systematic and comprehensive engagement with the sector, particularly CHSP providers, to support them throughout the reform process, avoid uncertainty, and help mitigate risks and implementation challenges as they arise. The Inspector-General notes that it is important to bear in mind that unsuccessful and delayed attempts to consolidate CHSP into a single home care program go back a decade.</w:t>
            </w:r>
          </w:p>
        </w:tc>
      </w:tr>
      <w:tr w:rsidR="00BF4D1E" w:rsidRPr="00C623AC" w14:paraId="48233E87" w14:textId="77777777" w:rsidTr="00176D85">
        <w:trPr>
          <w:trHeight w:val="590"/>
        </w:trPr>
        <w:tc>
          <w:tcPr>
            <w:tcW w:w="9776" w:type="dxa"/>
            <w:shd w:val="clear" w:color="auto" w:fill="F2F2F2" w:themeFill="background1" w:themeFillShade="F2"/>
            <w:hideMark/>
          </w:tcPr>
          <w:p w14:paraId="6145A6F7" w14:textId="2694DC6D" w:rsidR="00BF4D1E" w:rsidRPr="00C623AC" w:rsidRDefault="00B001B9" w:rsidP="00EC3169">
            <w:pPr>
              <w:spacing w:after="80"/>
              <w:rPr>
                <w:rFonts w:asciiTheme="majorHAnsi" w:hAnsiTheme="majorHAnsi" w:cstheme="majorHAnsi"/>
                <w:szCs w:val="22"/>
              </w:rPr>
            </w:pPr>
            <w:r w:rsidRPr="00C623AC">
              <w:rPr>
                <w:rFonts w:asciiTheme="majorHAnsi" w:hAnsiTheme="majorHAnsi" w:cstheme="majorHAnsi"/>
                <w:szCs w:val="22"/>
              </w:rPr>
              <w:t xml:space="preserve">The Inspector-General considers it critical that there be no further delays in commencement of the new Act. It is to be hoped that the revised Bill can be introduced in time for thorough parliamentary consideration and passage before the end of 2024.  </w:t>
            </w:r>
          </w:p>
        </w:tc>
      </w:tr>
      <w:tr w:rsidR="00BF4D1E" w:rsidRPr="00C623AC" w14:paraId="482132D8" w14:textId="77777777" w:rsidTr="00176D85">
        <w:trPr>
          <w:trHeight w:val="300"/>
        </w:trPr>
        <w:tc>
          <w:tcPr>
            <w:tcW w:w="9776" w:type="dxa"/>
            <w:shd w:val="clear" w:color="auto" w:fill="F2F2F2" w:themeFill="background1" w:themeFillShade="F2"/>
            <w:hideMark/>
          </w:tcPr>
          <w:p w14:paraId="0B2290FF" w14:textId="2769CD1D" w:rsidR="00BF4D1E" w:rsidRPr="00C623AC" w:rsidRDefault="006B5C8F" w:rsidP="00EC3169">
            <w:pPr>
              <w:spacing w:after="80"/>
              <w:rPr>
                <w:rFonts w:asciiTheme="majorHAnsi" w:hAnsiTheme="majorHAnsi" w:cstheme="majorHAnsi"/>
                <w:szCs w:val="22"/>
              </w:rPr>
            </w:pPr>
            <w:r w:rsidRPr="00C623AC">
              <w:rPr>
                <w:rFonts w:asciiTheme="majorHAnsi" w:hAnsiTheme="majorHAnsi" w:cstheme="majorHAnsi"/>
                <w:szCs w:val="22"/>
              </w:rPr>
              <w:t>The Inspector-General considers that it is important that sector and community views be fully considered in finalising the legislation prior to introduction into Parliament.</w:t>
            </w:r>
          </w:p>
        </w:tc>
      </w:tr>
      <w:tr w:rsidR="00BF4D1E" w:rsidRPr="00C623AC" w14:paraId="23C77740" w14:textId="77777777" w:rsidTr="00176D85">
        <w:trPr>
          <w:trHeight w:val="590"/>
        </w:trPr>
        <w:tc>
          <w:tcPr>
            <w:tcW w:w="9776" w:type="dxa"/>
            <w:shd w:val="clear" w:color="auto" w:fill="F2F2F2" w:themeFill="background1" w:themeFillShade="F2"/>
            <w:hideMark/>
          </w:tcPr>
          <w:p w14:paraId="3CA868C1" w14:textId="53F97875" w:rsidR="00BF4D1E" w:rsidRPr="00C623AC" w:rsidRDefault="002557A0" w:rsidP="00EC3169">
            <w:pPr>
              <w:spacing w:after="80"/>
              <w:rPr>
                <w:rFonts w:asciiTheme="majorHAnsi" w:hAnsiTheme="majorHAnsi" w:cstheme="majorHAnsi"/>
                <w:szCs w:val="22"/>
              </w:rPr>
            </w:pPr>
            <w:r w:rsidRPr="00C623AC">
              <w:rPr>
                <w:rFonts w:asciiTheme="majorHAnsi" w:hAnsiTheme="majorHAnsi" w:cstheme="majorHAnsi"/>
                <w:szCs w:val="22"/>
              </w:rPr>
              <w:t>The Inspector-General also considers that undertaking stakeholder consultations on the Rules while the Bill is being considered by Parliament will improve transparency, allow the sector an opportunity to comment, and help support transition to the new framework.</w:t>
            </w:r>
          </w:p>
        </w:tc>
      </w:tr>
      <w:tr w:rsidR="00BF4D1E" w:rsidRPr="00C623AC" w14:paraId="6904D094" w14:textId="77777777" w:rsidTr="00176D85">
        <w:trPr>
          <w:trHeight w:val="1190"/>
        </w:trPr>
        <w:tc>
          <w:tcPr>
            <w:tcW w:w="9776" w:type="dxa"/>
            <w:shd w:val="clear" w:color="auto" w:fill="F2F2F2" w:themeFill="background1" w:themeFillShade="F2"/>
            <w:hideMark/>
          </w:tcPr>
          <w:p w14:paraId="3636A280" w14:textId="2737F779" w:rsidR="00E9586C" w:rsidRPr="00C623AC" w:rsidRDefault="00BF1051" w:rsidP="00EC3169">
            <w:pPr>
              <w:spacing w:after="80"/>
              <w:rPr>
                <w:rFonts w:asciiTheme="majorHAnsi" w:hAnsiTheme="majorHAnsi" w:cstheme="majorHAnsi"/>
                <w:szCs w:val="22"/>
              </w:rPr>
            </w:pPr>
            <w:r w:rsidRPr="00C623AC">
              <w:rPr>
                <w:rFonts w:asciiTheme="majorHAnsi" w:hAnsiTheme="majorHAnsi" w:cstheme="majorHAnsi"/>
                <w:szCs w:val="22"/>
              </w:rPr>
              <w:t>Given policy and detailed design work on Support at Home is still to be progressed, and the potential for that work to coincide with the federal election (and its accompanying caretaker period) in 2025, the Inspector-General considers that the risk of not achieving the stated 1 July 2025 timeframe is not inconsequential. Therefore, the Inspector-General reiterates the need to maintain momentum towards delivering Support at Home, including resolving any outstanding policy questions, and to engage with key stakeholders throughout that process as appropriate.</w:t>
            </w:r>
          </w:p>
        </w:tc>
      </w:tr>
      <w:tr w:rsidR="00BF4D1E" w:rsidRPr="00C623AC" w14:paraId="607D7618" w14:textId="77777777" w:rsidTr="00CE7584">
        <w:trPr>
          <w:trHeight w:val="163"/>
        </w:trPr>
        <w:tc>
          <w:tcPr>
            <w:tcW w:w="9776" w:type="dxa"/>
            <w:shd w:val="clear" w:color="auto" w:fill="78226D" w:themeFill="accent4"/>
            <w:hideMark/>
          </w:tcPr>
          <w:p w14:paraId="78C2B3ED" w14:textId="77777777" w:rsidR="00BF4D1E" w:rsidRPr="00C623AC" w:rsidRDefault="00BF4D1E" w:rsidP="00485183">
            <w:pPr>
              <w:keepNext/>
              <w:spacing w:after="120"/>
              <w:rPr>
                <w:rFonts w:asciiTheme="majorHAnsi" w:hAnsiTheme="majorHAnsi" w:cstheme="majorHAnsi"/>
                <w:b/>
                <w:bCs/>
                <w:szCs w:val="22"/>
              </w:rPr>
            </w:pPr>
            <w:r w:rsidRPr="00FE48BE">
              <w:rPr>
                <w:rFonts w:asciiTheme="majorHAnsi" w:eastAsiaTheme="minorHAnsi" w:hAnsiTheme="majorHAnsi" w:cstheme="majorHAnsi"/>
                <w:b/>
                <w:bCs/>
                <w:color w:val="FFFFFF" w:themeColor="background1"/>
                <w:kern w:val="2"/>
                <w:szCs w:val="22"/>
                <w:lang w:eastAsia="en-US"/>
                <w14:ligatures w14:val="standardContextual"/>
              </w:rPr>
              <w:lastRenderedPageBreak/>
              <w:t>Chapter 3: Improving information and access pathways</w:t>
            </w:r>
          </w:p>
        </w:tc>
      </w:tr>
      <w:tr w:rsidR="00BF4D1E" w:rsidRPr="00C623AC" w14:paraId="4FDAB646" w14:textId="77777777" w:rsidTr="00176D85">
        <w:trPr>
          <w:trHeight w:val="880"/>
        </w:trPr>
        <w:tc>
          <w:tcPr>
            <w:tcW w:w="9776" w:type="dxa"/>
            <w:shd w:val="clear" w:color="auto" w:fill="F2F2F2" w:themeFill="background1" w:themeFillShade="F2"/>
            <w:hideMark/>
          </w:tcPr>
          <w:p w14:paraId="48285F3E" w14:textId="4045A395" w:rsidR="00BF4D1E" w:rsidRPr="00C623AC" w:rsidRDefault="00BF4D1E" w:rsidP="00EC3169">
            <w:pPr>
              <w:spacing w:after="80"/>
              <w:rPr>
                <w:rFonts w:asciiTheme="majorHAnsi" w:hAnsiTheme="majorHAnsi" w:cstheme="majorHAnsi"/>
                <w:szCs w:val="22"/>
              </w:rPr>
            </w:pPr>
            <w:r w:rsidRPr="00C623AC">
              <w:rPr>
                <w:rFonts w:asciiTheme="majorHAnsi" w:hAnsiTheme="majorHAnsi" w:cstheme="majorHAnsi"/>
              </w:rPr>
              <w:t>The Inspector-General considers that a long-term strategic approach remains urgently needed to address public misconceptions, raise awareness</w:t>
            </w:r>
            <w:r w:rsidRPr="00C623AC" w:rsidDel="007004EC">
              <w:rPr>
                <w:rFonts w:asciiTheme="majorHAnsi" w:hAnsiTheme="majorHAnsi" w:cstheme="majorHAnsi"/>
              </w:rPr>
              <w:t>,</w:t>
            </w:r>
            <w:r w:rsidRPr="00C623AC">
              <w:rPr>
                <w:rFonts w:asciiTheme="majorHAnsi" w:hAnsiTheme="majorHAnsi" w:cstheme="majorHAnsi"/>
              </w:rPr>
              <w:t xml:space="preserve"> and encourage people to plan ahead. A strategic focus is also needed </w:t>
            </w:r>
            <w:r w:rsidRPr="00C623AC" w:rsidDel="00715A6D">
              <w:rPr>
                <w:rFonts w:asciiTheme="majorHAnsi" w:hAnsiTheme="majorHAnsi" w:cstheme="majorHAnsi"/>
              </w:rPr>
              <w:t xml:space="preserve">to </w:t>
            </w:r>
            <w:r w:rsidRPr="00C623AC">
              <w:rPr>
                <w:rFonts w:asciiTheme="majorHAnsi" w:hAnsiTheme="majorHAnsi" w:cstheme="majorHAnsi"/>
              </w:rPr>
              <w:t xml:space="preserve">providing clear and practical information on how aged care works and how to access it when needed. For this strategic approach to be effective, it is vital that it </w:t>
            </w:r>
            <w:r w:rsidRPr="00C623AC" w:rsidDel="007004EC">
              <w:rPr>
                <w:rFonts w:asciiTheme="majorHAnsi" w:hAnsiTheme="majorHAnsi" w:cstheme="majorHAnsi"/>
              </w:rPr>
              <w:t xml:space="preserve">be </w:t>
            </w:r>
            <w:r w:rsidRPr="00C623AC">
              <w:rPr>
                <w:rFonts w:asciiTheme="majorHAnsi" w:hAnsiTheme="majorHAnsi" w:cstheme="majorHAnsi"/>
              </w:rPr>
              <w:t>applied with a population-wide perspective.</w:t>
            </w:r>
          </w:p>
        </w:tc>
      </w:tr>
      <w:tr w:rsidR="00BF4D1E" w:rsidRPr="00C623AC" w14:paraId="5E30EE22" w14:textId="77777777" w:rsidTr="00176D85">
        <w:trPr>
          <w:trHeight w:val="590"/>
        </w:trPr>
        <w:tc>
          <w:tcPr>
            <w:tcW w:w="9776" w:type="dxa"/>
            <w:shd w:val="clear" w:color="auto" w:fill="F2F2F2" w:themeFill="background1" w:themeFillShade="F2"/>
            <w:hideMark/>
          </w:tcPr>
          <w:p w14:paraId="148F72B9" w14:textId="2E0FBFBB" w:rsidR="00BF4D1E" w:rsidRPr="00C623AC" w:rsidRDefault="79ECE204" w:rsidP="00EC3169">
            <w:pPr>
              <w:spacing w:after="80"/>
              <w:rPr>
                <w:rFonts w:asciiTheme="majorHAnsi" w:hAnsiTheme="majorHAnsi" w:cstheme="majorHAnsi"/>
                <w:szCs w:val="22"/>
              </w:rPr>
            </w:pPr>
            <w:r w:rsidRPr="00C623AC">
              <w:rPr>
                <w:rFonts w:asciiTheme="majorHAnsi" w:hAnsiTheme="majorHAnsi" w:cstheme="majorHAnsi"/>
              </w:rPr>
              <w:t>The Inspector-General considers that there is a need for the My Aged Care website to be supplemented by greater face-to-face or personalised support to access aged care</w:t>
            </w:r>
            <w:r w:rsidR="006C63B6" w:rsidRPr="00C623AC">
              <w:rPr>
                <w:rFonts w:asciiTheme="majorHAnsi" w:hAnsiTheme="majorHAnsi" w:cstheme="majorHAnsi"/>
              </w:rPr>
              <w:t>,</w:t>
            </w:r>
            <w:r w:rsidR="00F908BF" w:rsidRPr="00C623AC">
              <w:rPr>
                <w:rFonts w:asciiTheme="majorHAnsi" w:hAnsiTheme="majorHAnsi" w:cstheme="majorHAnsi"/>
              </w:rPr>
              <w:t xml:space="preserve"> </w:t>
            </w:r>
            <w:r w:rsidRPr="00C623AC" w:rsidDel="00F908BF">
              <w:rPr>
                <w:rFonts w:asciiTheme="majorHAnsi" w:hAnsiTheme="majorHAnsi" w:cstheme="majorHAnsi"/>
              </w:rPr>
              <w:t xml:space="preserve">such as that provided by the </w:t>
            </w:r>
            <w:r w:rsidRPr="00C623AC">
              <w:rPr>
                <w:rFonts w:asciiTheme="majorHAnsi" w:hAnsiTheme="majorHAnsi" w:cstheme="majorHAnsi"/>
              </w:rPr>
              <w:t xml:space="preserve">Contact Centre </w:t>
            </w:r>
            <w:r w:rsidRPr="00C623AC" w:rsidDel="00F908BF">
              <w:rPr>
                <w:rFonts w:asciiTheme="majorHAnsi" w:hAnsiTheme="majorHAnsi" w:cstheme="majorHAnsi"/>
              </w:rPr>
              <w:t xml:space="preserve">but more so </w:t>
            </w:r>
            <w:r w:rsidRPr="00C623AC">
              <w:rPr>
                <w:rFonts w:asciiTheme="majorHAnsi" w:hAnsiTheme="majorHAnsi" w:cstheme="majorHAnsi"/>
              </w:rPr>
              <w:t>care finders, Services Australia’s Aged Care Specialist Officers (ACSOs</w:t>
            </w:r>
            <w:r w:rsidR="006C63B6" w:rsidRPr="00C623AC">
              <w:rPr>
                <w:rFonts w:asciiTheme="majorHAnsi" w:hAnsiTheme="majorHAnsi" w:cstheme="majorHAnsi"/>
              </w:rPr>
              <w:t xml:space="preserve">), and </w:t>
            </w:r>
            <w:r w:rsidRPr="00C623AC">
              <w:rPr>
                <w:rFonts w:asciiTheme="majorHAnsi" w:hAnsiTheme="majorHAnsi" w:cstheme="majorHAnsi"/>
              </w:rPr>
              <w:t>advocates.</w:t>
            </w:r>
          </w:p>
        </w:tc>
      </w:tr>
      <w:tr w:rsidR="00BF4D1E" w:rsidRPr="00C623AC" w14:paraId="4454C70E" w14:textId="77777777" w:rsidTr="00176D85">
        <w:trPr>
          <w:trHeight w:val="590"/>
        </w:trPr>
        <w:tc>
          <w:tcPr>
            <w:tcW w:w="9776" w:type="dxa"/>
            <w:shd w:val="clear" w:color="auto" w:fill="F2F2F2" w:themeFill="background1" w:themeFillShade="F2"/>
            <w:hideMark/>
          </w:tcPr>
          <w:p w14:paraId="162C80C5" w14:textId="5394CD96" w:rsidR="00BF4D1E" w:rsidRPr="00C623AC" w:rsidRDefault="00BF4D1E" w:rsidP="00EC3169">
            <w:pPr>
              <w:spacing w:after="80"/>
              <w:rPr>
                <w:rFonts w:asciiTheme="majorHAnsi" w:hAnsiTheme="majorHAnsi" w:cstheme="majorHAnsi"/>
                <w:szCs w:val="22"/>
              </w:rPr>
            </w:pPr>
            <w:r w:rsidRPr="00C623AC">
              <w:rPr>
                <w:rFonts w:asciiTheme="majorHAnsi" w:hAnsiTheme="majorHAnsi" w:cstheme="majorHAnsi"/>
              </w:rPr>
              <w:t>The Inspector-General considers additional improvements to the My Aged Care website are needed. Greater understanding of user experience could help identify areas for improvement</w:t>
            </w:r>
            <w:r w:rsidR="006C63B6" w:rsidRPr="00C623AC">
              <w:rPr>
                <w:rFonts w:asciiTheme="majorHAnsi" w:hAnsiTheme="majorHAnsi" w:cstheme="majorHAnsi"/>
              </w:rPr>
              <w:t xml:space="preserve">, </w:t>
            </w:r>
            <w:r w:rsidRPr="00C623AC" w:rsidDel="007004EC">
              <w:rPr>
                <w:rFonts w:asciiTheme="majorHAnsi" w:hAnsiTheme="majorHAnsi" w:cstheme="majorHAnsi"/>
              </w:rPr>
              <w:t>and</w:t>
            </w:r>
            <w:r w:rsidRPr="00C623AC">
              <w:rPr>
                <w:rFonts w:asciiTheme="majorHAnsi" w:hAnsiTheme="majorHAnsi" w:cstheme="majorHAnsi"/>
              </w:rPr>
              <w:t xml:space="preserve"> improvements should be co-designed with </w:t>
            </w:r>
            <w:r w:rsidRPr="00C623AC" w:rsidDel="007004EC">
              <w:rPr>
                <w:rFonts w:asciiTheme="majorHAnsi" w:hAnsiTheme="majorHAnsi" w:cstheme="majorHAnsi"/>
              </w:rPr>
              <w:t xml:space="preserve">a diversity of users, as well as learning from </w:t>
            </w:r>
            <w:r w:rsidRPr="00C623AC">
              <w:rPr>
                <w:rFonts w:asciiTheme="majorHAnsi" w:hAnsiTheme="majorHAnsi" w:cstheme="majorHAnsi"/>
              </w:rPr>
              <w:t xml:space="preserve">commercial websites that are highly rated for ease of use. </w:t>
            </w:r>
          </w:p>
        </w:tc>
      </w:tr>
      <w:tr w:rsidR="00BF4D1E" w:rsidRPr="00C623AC" w14:paraId="5C9B4F10" w14:textId="77777777" w:rsidTr="00176D85">
        <w:trPr>
          <w:trHeight w:val="590"/>
        </w:trPr>
        <w:tc>
          <w:tcPr>
            <w:tcW w:w="9776" w:type="dxa"/>
            <w:shd w:val="clear" w:color="auto" w:fill="F2F2F2" w:themeFill="background1" w:themeFillShade="F2"/>
            <w:hideMark/>
          </w:tcPr>
          <w:p w14:paraId="0365347D" w14:textId="2504F700" w:rsidR="00BF4D1E" w:rsidRPr="00C623AC" w:rsidRDefault="00BF4D1E" w:rsidP="00EC3169">
            <w:pPr>
              <w:spacing w:after="80"/>
              <w:rPr>
                <w:rFonts w:asciiTheme="majorHAnsi" w:hAnsiTheme="majorHAnsi" w:cstheme="majorHAnsi"/>
                <w:szCs w:val="22"/>
              </w:rPr>
            </w:pPr>
            <w:r w:rsidRPr="00C623AC">
              <w:rPr>
                <w:rFonts w:asciiTheme="majorHAnsi" w:hAnsiTheme="majorHAnsi" w:cstheme="majorHAnsi"/>
              </w:rPr>
              <w:t xml:space="preserve">While the Inspector-General welcomes </w:t>
            </w:r>
            <w:r w:rsidR="006C63B6" w:rsidRPr="00C623AC">
              <w:rPr>
                <w:rFonts w:asciiTheme="majorHAnsi" w:hAnsiTheme="majorHAnsi" w:cstheme="majorHAnsi"/>
              </w:rPr>
              <w:t>data showing a</w:t>
            </w:r>
            <w:r w:rsidRPr="00C623AC">
              <w:rPr>
                <w:rFonts w:asciiTheme="majorHAnsi" w:hAnsiTheme="majorHAnsi" w:cstheme="majorHAnsi"/>
              </w:rPr>
              <w:t xml:space="preserve"> decline in home care wait list ‘elapsed days’, it is important that </w:t>
            </w:r>
            <w:r w:rsidR="00355574" w:rsidRPr="00C623AC">
              <w:rPr>
                <w:rFonts w:asciiTheme="majorHAnsi" w:hAnsiTheme="majorHAnsi" w:cstheme="majorHAnsi"/>
              </w:rPr>
              <w:t xml:space="preserve">the Department objectively </w:t>
            </w:r>
            <w:r w:rsidR="006C63B6" w:rsidRPr="00C623AC">
              <w:rPr>
                <w:rFonts w:asciiTheme="majorHAnsi" w:hAnsiTheme="majorHAnsi" w:cstheme="majorHAnsi"/>
              </w:rPr>
              <w:t>investigate and respond</w:t>
            </w:r>
            <w:r w:rsidR="00355574" w:rsidRPr="00C623AC">
              <w:rPr>
                <w:rFonts w:asciiTheme="majorHAnsi" w:hAnsiTheme="majorHAnsi" w:cstheme="majorHAnsi"/>
              </w:rPr>
              <w:t xml:space="preserve"> to </w:t>
            </w:r>
            <w:r w:rsidRPr="00C623AC">
              <w:rPr>
                <w:rFonts w:asciiTheme="majorHAnsi" w:hAnsiTheme="majorHAnsi" w:cstheme="majorHAnsi"/>
              </w:rPr>
              <w:t xml:space="preserve">consistent stakeholder accounts of lengthy delays and systemic shortcomings. </w:t>
            </w:r>
          </w:p>
        </w:tc>
      </w:tr>
      <w:tr w:rsidR="00BF4D1E" w:rsidRPr="00C623AC" w14:paraId="06501FAF" w14:textId="77777777" w:rsidTr="00176D85">
        <w:trPr>
          <w:trHeight w:val="590"/>
        </w:trPr>
        <w:tc>
          <w:tcPr>
            <w:tcW w:w="9776" w:type="dxa"/>
            <w:shd w:val="clear" w:color="auto" w:fill="F2F2F2" w:themeFill="background1" w:themeFillShade="F2"/>
            <w:hideMark/>
          </w:tcPr>
          <w:p w14:paraId="4D3506BB" w14:textId="56EDC037" w:rsidR="00BF4D1E" w:rsidRPr="00C623AC" w:rsidRDefault="00BF4D1E" w:rsidP="00EC3169">
            <w:pPr>
              <w:spacing w:after="80"/>
              <w:rPr>
                <w:rFonts w:asciiTheme="majorHAnsi" w:hAnsiTheme="majorHAnsi" w:cstheme="majorHAnsi"/>
                <w:szCs w:val="22"/>
              </w:rPr>
            </w:pPr>
            <w:r w:rsidRPr="00C623AC">
              <w:rPr>
                <w:rFonts w:asciiTheme="majorHAnsi" w:hAnsiTheme="majorHAnsi" w:cstheme="majorHAnsi"/>
              </w:rPr>
              <w:t xml:space="preserve">The Inspector-General calls on the Department to actively monitor and report on the impacts of grants for priority Aged Care Planning Regions in meeting unmet consumer demand and </w:t>
            </w:r>
            <w:r w:rsidRPr="00C623AC" w:rsidDel="007004EC">
              <w:rPr>
                <w:rFonts w:asciiTheme="majorHAnsi" w:hAnsiTheme="majorHAnsi" w:cstheme="majorHAnsi"/>
              </w:rPr>
              <w:t xml:space="preserve">in </w:t>
            </w:r>
            <w:r w:rsidRPr="00C623AC">
              <w:rPr>
                <w:rFonts w:asciiTheme="majorHAnsi" w:hAnsiTheme="majorHAnsi" w:cstheme="majorHAnsi"/>
              </w:rPr>
              <w:t xml:space="preserve">minimising wait times. </w:t>
            </w:r>
          </w:p>
        </w:tc>
      </w:tr>
      <w:tr w:rsidR="00BF4D1E" w:rsidRPr="00C623AC" w14:paraId="7D516733" w14:textId="77777777" w:rsidTr="00176D85">
        <w:trPr>
          <w:trHeight w:val="1170"/>
        </w:trPr>
        <w:tc>
          <w:tcPr>
            <w:tcW w:w="9776" w:type="dxa"/>
            <w:shd w:val="clear" w:color="auto" w:fill="F2F2F2" w:themeFill="background1" w:themeFillShade="F2"/>
            <w:hideMark/>
          </w:tcPr>
          <w:p w14:paraId="4ADC37B1" w14:textId="19FEECB9" w:rsidR="00BF4D1E" w:rsidRPr="00C623AC" w:rsidRDefault="00BF4D1E" w:rsidP="00EC3169">
            <w:pPr>
              <w:spacing w:after="80"/>
              <w:rPr>
                <w:rFonts w:asciiTheme="majorHAnsi" w:hAnsiTheme="majorHAnsi" w:cstheme="majorHAnsi"/>
                <w:szCs w:val="22"/>
              </w:rPr>
            </w:pPr>
            <w:r w:rsidRPr="00C623AC">
              <w:rPr>
                <w:rFonts w:asciiTheme="majorHAnsi" w:hAnsiTheme="majorHAnsi" w:cstheme="majorHAnsi"/>
              </w:rPr>
              <w:t xml:space="preserve">In finalising the policy for the move to a single assessment model, the Inspector-General calls on the Department to consider the identified limitations </w:t>
            </w:r>
            <w:r w:rsidR="006C63B6" w:rsidRPr="00C623AC">
              <w:rPr>
                <w:rFonts w:asciiTheme="majorHAnsi" w:hAnsiTheme="majorHAnsi" w:cstheme="majorHAnsi"/>
              </w:rPr>
              <w:t>of</w:t>
            </w:r>
            <w:r w:rsidRPr="00C623AC">
              <w:rPr>
                <w:rFonts w:asciiTheme="majorHAnsi" w:hAnsiTheme="majorHAnsi" w:cstheme="majorHAnsi"/>
              </w:rPr>
              <w:t xml:space="preserve"> the current assessment processes and seek to ensure the Integrated Assessment Tool (IAT) encourages holistic assessment </w:t>
            </w:r>
            <w:r w:rsidR="007004EC" w:rsidRPr="00C623AC">
              <w:rPr>
                <w:rFonts w:asciiTheme="majorHAnsi" w:hAnsiTheme="majorHAnsi" w:cstheme="majorHAnsi"/>
              </w:rPr>
              <w:t xml:space="preserve">that </w:t>
            </w:r>
            <w:r w:rsidRPr="00C623AC">
              <w:rPr>
                <w:rFonts w:asciiTheme="majorHAnsi" w:hAnsiTheme="majorHAnsi" w:cstheme="majorHAnsi"/>
              </w:rPr>
              <w:t xml:space="preserve">takes adequate account of the breadth of </w:t>
            </w:r>
            <w:r w:rsidR="006C63B6" w:rsidRPr="00C623AC">
              <w:rPr>
                <w:rFonts w:asciiTheme="majorHAnsi" w:hAnsiTheme="majorHAnsi" w:cstheme="majorHAnsi"/>
              </w:rPr>
              <w:t>people’s</w:t>
            </w:r>
            <w:r w:rsidRPr="00C623AC">
              <w:rPr>
                <w:rFonts w:asciiTheme="majorHAnsi" w:hAnsiTheme="majorHAnsi" w:cstheme="majorHAnsi"/>
              </w:rPr>
              <w:t xml:space="preserve"> care needs</w:t>
            </w:r>
            <w:r w:rsidRPr="00C623AC" w:rsidDel="007004EC">
              <w:rPr>
                <w:rFonts w:asciiTheme="majorHAnsi" w:hAnsiTheme="majorHAnsi" w:cstheme="majorHAnsi"/>
              </w:rPr>
              <w:t xml:space="preserve"> and </w:t>
            </w:r>
            <w:r w:rsidRPr="00C623AC">
              <w:rPr>
                <w:rFonts w:asciiTheme="majorHAnsi" w:hAnsiTheme="majorHAnsi" w:cstheme="majorHAnsi"/>
              </w:rPr>
              <w:t xml:space="preserve">the availability of local care options and likely wait times. Ensuring there is a sufficient pool of appropriately trained assessors will also be </w:t>
            </w:r>
            <w:r w:rsidRPr="00C623AC" w:rsidDel="007004EC">
              <w:rPr>
                <w:rFonts w:asciiTheme="majorHAnsi" w:hAnsiTheme="majorHAnsi" w:cstheme="majorHAnsi"/>
              </w:rPr>
              <w:t xml:space="preserve">a </w:t>
            </w:r>
            <w:r w:rsidRPr="00C623AC">
              <w:rPr>
                <w:rFonts w:asciiTheme="majorHAnsi" w:hAnsiTheme="majorHAnsi" w:cstheme="majorHAnsi"/>
              </w:rPr>
              <w:t xml:space="preserve">key </w:t>
            </w:r>
            <w:r w:rsidRPr="00C623AC" w:rsidDel="007004EC">
              <w:rPr>
                <w:rFonts w:asciiTheme="majorHAnsi" w:hAnsiTheme="majorHAnsi" w:cstheme="majorHAnsi"/>
              </w:rPr>
              <w:t>consideration in</w:t>
            </w:r>
            <w:r w:rsidRPr="00C623AC">
              <w:rPr>
                <w:rFonts w:asciiTheme="majorHAnsi" w:hAnsiTheme="majorHAnsi" w:cstheme="majorHAnsi"/>
              </w:rPr>
              <w:t xml:space="preserve"> </w:t>
            </w:r>
            <w:r w:rsidRPr="00C623AC" w:rsidDel="007004EC">
              <w:rPr>
                <w:rFonts w:asciiTheme="majorHAnsi" w:hAnsiTheme="majorHAnsi" w:cstheme="majorHAnsi"/>
              </w:rPr>
              <w:t xml:space="preserve">the success of </w:t>
            </w:r>
            <w:r w:rsidRPr="00C623AC">
              <w:rPr>
                <w:rFonts w:asciiTheme="majorHAnsi" w:hAnsiTheme="majorHAnsi" w:cstheme="majorHAnsi"/>
              </w:rPr>
              <w:t xml:space="preserve">the new </w:t>
            </w:r>
            <w:r w:rsidR="006C63B6" w:rsidRPr="00C623AC">
              <w:rPr>
                <w:rFonts w:asciiTheme="majorHAnsi" w:hAnsiTheme="majorHAnsi" w:cstheme="majorHAnsi"/>
              </w:rPr>
              <w:t>model</w:t>
            </w:r>
            <w:r w:rsidRPr="00C623AC">
              <w:rPr>
                <w:rFonts w:asciiTheme="majorHAnsi" w:hAnsiTheme="majorHAnsi" w:cstheme="majorHAnsi"/>
              </w:rPr>
              <w:t>.</w:t>
            </w:r>
          </w:p>
        </w:tc>
      </w:tr>
      <w:tr w:rsidR="00BF4D1E" w:rsidRPr="00C623AC" w14:paraId="5923489C" w14:textId="77777777" w:rsidTr="00CE7584">
        <w:trPr>
          <w:trHeight w:val="245"/>
        </w:trPr>
        <w:tc>
          <w:tcPr>
            <w:tcW w:w="9776" w:type="dxa"/>
            <w:shd w:val="clear" w:color="auto" w:fill="78226D" w:themeFill="accent4"/>
            <w:hideMark/>
          </w:tcPr>
          <w:p w14:paraId="36F110EE" w14:textId="77777777" w:rsidR="00BF4D1E" w:rsidRPr="00C623AC" w:rsidRDefault="00BF4D1E" w:rsidP="00FE48BE">
            <w:pPr>
              <w:spacing w:after="120"/>
              <w:rPr>
                <w:rFonts w:asciiTheme="majorHAnsi" w:hAnsiTheme="majorHAnsi" w:cstheme="majorHAnsi"/>
                <w:b/>
                <w:bCs/>
                <w:szCs w:val="22"/>
              </w:rPr>
            </w:pPr>
            <w:r w:rsidRPr="00FE48BE">
              <w:rPr>
                <w:rFonts w:asciiTheme="majorHAnsi" w:eastAsiaTheme="minorHAnsi" w:hAnsiTheme="majorHAnsi" w:cstheme="majorHAnsi"/>
                <w:b/>
                <w:bCs/>
                <w:color w:val="FFFFFF" w:themeColor="background1"/>
                <w:kern w:val="2"/>
                <w:szCs w:val="22"/>
                <w:lang w:eastAsia="en-US"/>
                <w14:ligatures w14:val="standardContextual"/>
              </w:rPr>
              <w:t>Chapter 4: Initiatives to support access</w:t>
            </w:r>
          </w:p>
        </w:tc>
      </w:tr>
      <w:tr w:rsidR="00BF4D1E" w:rsidRPr="00C623AC" w14:paraId="1B590F64" w14:textId="77777777" w:rsidTr="00176D85">
        <w:trPr>
          <w:trHeight w:val="590"/>
        </w:trPr>
        <w:tc>
          <w:tcPr>
            <w:tcW w:w="9776" w:type="dxa"/>
            <w:shd w:val="clear" w:color="auto" w:fill="F2F2F2" w:themeFill="background1" w:themeFillShade="F2"/>
            <w:hideMark/>
          </w:tcPr>
          <w:p w14:paraId="39A573D2" w14:textId="08DF8AC7"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 xml:space="preserve">The Inspector-General considers that stakeholder concerns about the operation of the care finders initiative warrant the Department </w:t>
            </w:r>
            <w:r w:rsidR="00D830F8" w:rsidRPr="00C623AC">
              <w:rPr>
                <w:rFonts w:asciiTheme="majorHAnsi" w:hAnsiTheme="majorHAnsi" w:cstheme="majorHAnsi"/>
              </w:rPr>
              <w:t>further considering</w:t>
            </w:r>
            <w:r w:rsidRPr="00C623AC" w:rsidDel="00187110">
              <w:rPr>
                <w:rFonts w:asciiTheme="majorHAnsi" w:hAnsiTheme="majorHAnsi" w:cstheme="majorHAnsi"/>
              </w:rPr>
              <w:t xml:space="preserve"> </w:t>
            </w:r>
            <w:r w:rsidRPr="00C623AC">
              <w:rPr>
                <w:rFonts w:asciiTheme="majorHAnsi" w:hAnsiTheme="majorHAnsi" w:cstheme="majorHAnsi"/>
              </w:rPr>
              <w:t xml:space="preserve">whether the program is providing the level of support </w:t>
            </w:r>
            <w:r w:rsidRPr="00C623AC" w:rsidDel="00187110">
              <w:rPr>
                <w:rFonts w:asciiTheme="majorHAnsi" w:hAnsiTheme="majorHAnsi" w:cstheme="majorHAnsi"/>
              </w:rPr>
              <w:t xml:space="preserve">that </w:t>
            </w:r>
            <w:r w:rsidRPr="00C623AC">
              <w:rPr>
                <w:rFonts w:asciiTheme="majorHAnsi" w:hAnsiTheme="majorHAnsi" w:cstheme="majorHAnsi"/>
              </w:rPr>
              <w:t>the Royal Commission envisaged.</w:t>
            </w:r>
          </w:p>
        </w:tc>
      </w:tr>
      <w:tr w:rsidR="00BF4D1E" w:rsidRPr="00C623AC" w14:paraId="7B33DEFF" w14:textId="77777777" w:rsidTr="00176D85">
        <w:trPr>
          <w:trHeight w:val="590"/>
        </w:trPr>
        <w:tc>
          <w:tcPr>
            <w:tcW w:w="9776" w:type="dxa"/>
            <w:shd w:val="clear" w:color="auto" w:fill="F2F2F2" w:themeFill="background1" w:themeFillShade="F2"/>
            <w:hideMark/>
          </w:tcPr>
          <w:p w14:paraId="42B02979" w14:textId="41A8AC41"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 xml:space="preserve">The Inspector-General calls on the Department to review Primary Health Network (PHN) provision of care finders, with a view to determining whether variability is causing some people to receive inadequate assistance and whether stronger guidelines, more training or greater centralised oversight and accountability </w:t>
            </w:r>
            <w:r w:rsidRPr="00C623AC" w:rsidDel="00187110">
              <w:rPr>
                <w:rFonts w:asciiTheme="majorHAnsi" w:hAnsiTheme="majorHAnsi" w:cstheme="majorHAnsi"/>
              </w:rPr>
              <w:t xml:space="preserve">is </w:t>
            </w:r>
            <w:r w:rsidRPr="00C623AC">
              <w:rPr>
                <w:rFonts w:asciiTheme="majorHAnsi" w:hAnsiTheme="majorHAnsi" w:cstheme="majorHAnsi"/>
              </w:rPr>
              <w:t xml:space="preserve">warranted. </w:t>
            </w:r>
          </w:p>
        </w:tc>
      </w:tr>
      <w:tr w:rsidR="00BF4D1E" w:rsidRPr="00C623AC" w14:paraId="3C20BBD2" w14:textId="77777777" w:rsidTr="00176D85">
        <w:trPr>
          <w:trHeight w:val="590"/>
        </w:trPr>
        <w:tc>
          <w:tcPr>
            <w:tcW w:w="9776" w:type="dxa"/>
            <w:shd w:val="clear" w:color="auto" w:fill="F2F2F2" w:themeFill="background1" w:themeFillShade="F2"/>
            <w:hideMark/>
          </w:tcPr>
          <w:p w14:paraId="0FFEC6E3" w14:textId="3395C3EC"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 xml:space="preserve">The Inspector-General observes that awareness of the availability of care finder support is critical to the overall success of the program and calls for </w:t>
            </w:r>
            <w:r w:rsidR="00D830F8" w:rsidRPr="00C623AC">
              <w:rPr>
                <w:rFonts w:asciiTheme="majorHAnsi" w:hAnsiTheme="majorHAnsi" w:cstheme="majorHAnsi"/>
              </w:rPr>
              <w:t xml:space="preserve">further investigation </w:t>
            </w:r>
            <w:r w:rsidRPr="00C623AC" w:rsidDel="00D15B29">
              <w:rPr>
                <w:rFonts w:asciiTheme="majorHAnsi" w:hAnsiTheme="majorHAnsi" w:cstheme="majorHAnsi"/>
              </w:rPr>
              <w:t>by the Department</w:t>
            </w:r>
            <w:r w:rsidRPr="00C623AC">
              <w:rPr>
                <w:rFonts w:asciiTheme="majorHAnsi" w:hAnsiTheme="majorHAnsi" w:cstheme="majorHAnsi"/>
              </w:rPr>
              <w:t xml:space="preserve"> to identify and address any gaps in </w:t>
            </w:r>
            <w:r w:rsidRPr="00C623AC" w:rsidDel="00187110">
              <w:rPr>
                <w:rFonts w:asciiTheme="majorHAnsi" w:hAnsiTheme="majorHAnsi" w:cstheme="majorHAnsi"/>
              </w:rPr>
              <w:t xml:space="preserve">that </w:t>
            </w:r>
            <w:r w:rsidRPr="00C623AC">
              <w:rPr>
                <w:rFonts w:asciiTheme="majorHAnsi" w:hAnsiTheme="majorHAnsi" w:cstheme="majorHAnsi"/>
              </w:rPr>
              <w:t>awareness.</w:t>
            </w:r>
          </w:p>
        </w:tc>
      </w:tr>
      <w:tr w:rsidR="00BF4D1E" w:rsidRPr="00C623AC" w14:paraId="72198C2B" w14:textId="77777777" w:rsidTr="00176D85">
        <w:trPr>
          <w:trHeight w:val="590"/>
        </w:trPr>
        <w:tc>
          <w:tcPr>
            <w:tcW w:w="9776" w:type="dxa"/>
            <w:shd w:val="clear" w:color="auto" w:fill="F2F2F2" w:themeFill="background1" w:themeFillShade="F2"/>
            <w:hideMark/>
          </w:tcPr>
          <w:p w14:paraId="4ED23A75" w14:textId="0CE4AED9" w:rsidR="00BF4D1E" w:rsidRPr="0087394E" w:rsidRDefault="0087394E" w:rsidP="00B117D1">
            <w:pPr>
              <w:spacing w:after="80"/>
              <w:rPr>
                <w:rFonts w:asciiTheme="majorHAnsi" w:hAnsiTheme="majorHAnsi" w:cstheme="majorHAnsi"/>
              </w:rPr>
            </w:pPr>
            <w:r w:rsidRPr="0087394E">
              <w:rPr>
                <w:rFonts w:asciiTheme="majorHAnsi" w:hAnsiTheme="majorHAnsi" w:cstheme="majorHAnsi"/>
              </w:rPr>
              <w:t xml:space="preserve">The Inspector-General calls on the Department to review the outcomes of, and if </w:t>
            </w:r>
            <w:proofErr w:type="gramStart"/>
            <w:r w:rsidRPr="0087394E">
              <w:rPr>
                <w:rFonts w:asciiTheme="majorHAnsi" w:hAnsiTheme="majorHAnsi" w:cstheme="majorHAnsi"/>
              </w:rPr>
              <w:t>necessary</w:t>
            </w:r>
            <w:proofErr w:type="gramEnd"/>
            <w:r w:rsidRPr="0087394E">
              <w:rPr>
                <w:rFonts w:asciiTheme="majorHAnsi" w:hAnsiTheme="majorHAnsi" w:cstheme="majorHAnsi"/>
              </w:rPr>
              <w:t xml:space="preserve"> reconsider the merits of, combining the previous Assistance with Care and Housing program with the care finders initiative, and further engaging with stakeholders about the specific needs of older people at risk of homelessness.</w:t>
            </w:r>
          </w:p>
        </w:tc>
      </w:tr>
      <w:tr w:rsidR="00BF4D1E" w:rsidRPr="00C623AC" w14:paraId="37D56733" w14:textId="77777777" w:rsidTr="00176D85">
        <w:trPr>
          <w:trHeight w:val="300"/>
        </w:trPr>
        <w:tc>
          <w:tcPr>
            <w:tcW w:w="9776" w:type="dxa"/>
            <w:shd w:val="clear" w:color="auto" w:fill="F2F2F2" w:themeFill="background1" w:themeFillShade="F2"/>
            <w:hideMark/>
          </w:tcPr>
          <w:p w14:paraId="59233C84" w14:textId="1CD226FB"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 xml:space="preserve">The Inspector-General considers the development of an appropriate star ratings system for home care </w:t>
            </w:r>
            <w:r w:rsidRPr="00C623AC" w:rsidDel="00187110">
              <w:rPr>
                <w:rFonts w:asciiTheme="majorHAnsi" w:hAnsiTheme="majorHAnsi" w:cstheme="majorHAnsi"/>
              </w:rPr>
              <w:t xml:space="preserve">to be </w:t>
            </w:r>
            <w:r w:rsidRPr="00C623AC">
              <w:rPr>
                <w:rFonts w:asciiTheme="majorHAnsi" w:hAnsiTheme="majorHAnsi" w:cstheme="majorHAnsi"/>
              </w:rPr>
              <w:t>a high priority.</w:t>
            </w:r>
          </w:p>
        </w:tc>
      </w:tr>
      <w:tr w:rsidR="00BF4D1E" w:rsidRPr="00C623AC" w14:paraId="37B739E2" w14:textId="77777777" w:rsidTr="00176D85">
        <w:trPr>
          <w:trHeight w:val="590"/>
        </w:trPr>
        <w:tc>
          <w:tcPr>
            <w:tcW w:w="9776" w:type="dxa"/>
            <w:shd w:val="clear" w:color="auto" w:fill="F2F2F2" w:themeFill="background1" w:themeFillShade="F2"/>
            <w:hideMark/>
          </w:tcPr>
          <w:p w14:paraId="10E4E1CD" w14:textId="1771B304"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The Inspector-General calls on the Department to publish a timeframe for extending star ratings into home care, noting that the ideal start date would be 1 July 2025, to coincide with the commencement of Support at Home.</w:t>
            </w:r>
          </w:p>
        </w:tc>
      </w:tr>
      <w:tr w:rsidR="00BF4D1E" w:rsidRPr="00C623AC" w14:paraId="745595F4" w14:textId="77777777" w:rsidTr="00176D85">
        <w:trPr>
          <w:trHeight w:val="590"/>
        </w:trPr>
        <w:tc>
          <w:tcPr>
            <w:tcW w:w="9776" w:type="dxa"/>
            <w:shd w:val="clear" w:color="auto" w:fill="F2F2F2" w:themeFill="background1" w:themeFillShade="F2"/>
            <w:hideMark/>
          </w:tcPr>
          <w:p w14:paraId="0B3466BA" w14:textId="4EC5229D"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The Inspector-General calls for greater differentiation in star ratings. A greater level of granularity will deliver a more usable system. It will provide addition</w:t>
            </w:r>
            <w:r w:rsidR="00187110" w:rsidRPr="00C623AC">
              <w:rPr>
                <w:rFonts w:asciiTheme="majorHAnsi" w:hAnsiTheme="majorHAnsi" w:cstheme="majorHAnsi"/>
              </w:rPr>
              <w:t>al</w:t>
            </w:r>
            <w:r w:rsidRPr="00C623AC">
              <w:rPr>
                <w:rFonts w:asciiTheme="majorHAnsi" w:hAnsiTheme="majorHAnsi" w:cstheme="majorHAnsi"/>
              </w:rPr>
              <w:t xml:space="preserve"> information </w:t>
            </w:r>
            <w:r w:rsidRPr="00C623AC" w:rsidDel="00187110">
              <w:rPr>
                <w:rFonts w:asciiTheme="majorHAnsi" w:hAnsiTheme="majorHAnsi" w:cstheme="majorHAnsi"/>
              </w:rPr>
              <w:t xml:space="preserve">to people </w:t>
            </w:r>
            <w:r w:rsidRPr="00C623AC">
              <w:rPr>
                <w:rFonts w:asciiTheme="majorHAnsi" w:hAnsiTheme="majorHAnsi" w:cstheme="majorHAnsi"/>
              </w:rPr>
              <w:t>and further drive continuous improvement in service delivery.</w:t>
            </w:r>
          </w:p>
        </w:tc>
      </w:tr>
      <w:tr w:rsidR="00BF4D1E" w:rsidRPr="00C623AC" w14:paraId="0834A3A2" w14:textId="77777777" w:rsidTr="00176D85">
        <w:trPr>
          <w:trHeight w:val="590"/>
        </w:trPr>
        <w:tc>
          <w:tcPr>
            <w:tcW w:w="9776" w:type="dxa"/>
            <w:shd w:val="clear" w:color="auto" w:fill="F2F2F2" w:themeFill="background1" w:themeFillShade="F2"/>
            <w:hideMark/>
          </w:tcPr>
          <w:p w14:paraId="1266AE2D" w14:textId="5B190BAC" w:rsidR="00B10A5E" w:rsidRPr="00B10A5E" w:rsidRDefault="00BF4D1E" w:rsidP="00B10A5E">
            <w:pPr>
              <w:spacing w:after="80"/>
              <w:rPr>
                <w:rFonts w:asciiTheme="majorHAnsi" w:hAnsiTheme="majorHAnsi" w:cstheme="majorHAnsi"/>
              </w:rPr>
            </w:pPr>
            <w:r w:rsidRPr="00C623AC">
              <w:rPr>
                <w:rFonts w:asciiTheme="majorHAnsi" w:hAnsiTheme="majorHAnsi" w:cstheme="majorHAnsi"/>
              </w:rPr>
              <w:lastRenderedPageBreak/>
              <w:t>The Inspector-General supports ongoing monitoring and assessment of quality indicators and resident surveys to ensure they are fit</w:t>
            </w:r>
            <w:r w:rsidR="00187110" w:rsidRPr="00C623AC">
              <w:rPr>
                <w:rFonts w:asciiTheme="majorHAnsi" w:hAnsiTheme="majorHAnsi" w:cstheme="majorHAnsi"/>
              </w:rPr>
              <w:t xml:space="preserve"> </w:t>
            </w:r>
            <w:r w:rsidRPr="00C623AC">
              <w:rPr>
                <w:rFonts w:asciiTheme="majorHAnsi" w:hAnsiTheme="majorHAnsi" w:cstheme="majorHAnsi"/>
              </w:rPr>
              <w:t>for</w:t>
            </w:r>
            <w:r w:rsidR="00187110" w:rsidRPr="00C623AC">
              <w:rPr>
                <w:rFonts w:asciiTheme="majorHAnsi" w:hAnsiTheme="majorHAnsi" w:cstheme="majorHAnsi"/>
              </w:rPr>
              <w:t xml:space="preserve"> </w:t>
            </w:r>
            <w:r w:rsidRPr="00C623AC">
              <w:rPr>
                <w:rFonts w:asciiTheme="majorHAnsi" w:hAnsiTheme="majorHAnsi" w:cstheme="majorHAnsi"/>
              </w:rPr>
              <w:t>purpose. The star ratings evaluation currently underway is welcome and should take this into account.</w:t>
            </w:r>
            <w:r w:rsidR="00B10A5E">
              <w:rPr>
                <w:rFonts w:asciiTheme="majorHAnsi" w:hAnsiTheme="majorHAnsi" w:cstheme="majorHAnsi"/>
                <w:szCs w:val="22"/>
              </w:rPr>
              <w:tab/>
            </w:r>
          </w:p>
        </w:tc>
      </w:tr>
      <w:tr w:rsidR="00BF4D1E" w:rsidRPr="00C623AC" w14:paraId="5D18EEAA" w14:textId="77777777" w:rsidTr="00176D85">
        <w:trPr>
          <w:trHeight w:val="880"/>
        </w:trPr>
        <w:tc>
          <w:tcPr>
            <w:tcW w:w="9776" w:type="dxa"/>
            <w:shd w:val="clear" w:color="auto" w:fill="F2F2F2" w:themeFill="background1" w:themeFillShade="F2"/>
            <w:hideMark/>
          </w:tcPr>
          <w:p w14:paraId="66762290" w14:textId="37B0DC1D"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The Inspector-General recognises the need to minimise the possibility of providers being discouraged from voluntarily reporting compliance issues out of fear of being penalised with a poor</w:t>
            </w:r>
            <w:r w:rsidRPr="00C623AC" w:rsidDel="00060996">
              <w:rPr>
                <w:rFonts w:asciiTheme="majorHAnsi" w:hAnsiTheme="majorHAnsi" w:cstheme="majorHAnsi"/>
              </w:rPr>
              <w:t>er</w:t>
            </w:r>
            <w:r w:rsidRPr="00C623AC">
              <w:rPr>
                <w:rFonts w:asciiTheme="majorHAnsi" w:hAnsiTheme="majorHAnsi" w:cstheme="majorHAnsi"/>
              </w:rPr>
              <w:t xml:space="preserve"> rating. An appropriate balance is needed to ensure star ratings do not turn a ‘blind eye’ to repeated non-compliance, </w:t>
            </w:r>
            <w:r w:rsidR="00D41BB7" w:rsidRPr="00C623AC">
              <w:rPr>
                <w:rFonts w:asciiTheme="majorHAnsi" w:hAnsiTheme="majorHAnsi" w:cstheme="majorHAnsi"/>
              </w:rPr>
              <w:t xml:space="preserve">and </w:t>
            </w:r>
            <w:r w:rsidR="00D830F8" w:rsidRPr="00C623AC">
              <w:rPr>
                <w:rFonts w:asciiTheme="majorHAnsi" w:hAnsiTheme="majorHAnsi" w:cstheme="majorHAnsi"/>
              </w:rPr>
              <w:t>that they</w:t>
            </w:r>
            <w:r w:rsidR="00D41BB7" w:rsidRPr="00C623AC">
              <w:rPr>
                <w:rFonts w:asciiTheme="majorHAnsi" w:hAnsiTheme="majorHAnsi" w:cstheme="majorHAnsi"/>
              </w:rPr>
              <w:t xml:space="preserve"> </w:t>
            </w:r>
            <w:r w:rsidRPr="00C623AC">
              <w:rPr>
                <w:rFonts w:asciiTheme="majorHAnsi" w:hAnsiTheme="majorHAnsi" w:cstheme="majorHAnsi"/>
              </w:rPr>
              <w:t xml:space="preserve">encourage positive engagement with compliance requirements and foster continuous improvement. The Inspector-General considers clearer public messaging about the treatment of non-compliance in the star ratings is needed. </w:t>
            </w:r>
          </w:p>
        </w:tc>
      </w:tr>
      <w:tr w:rsidR="00BF4D1E" w:rsidRPr="00C623AC" w14:paraId="3B881A4C" w14:textId="77777777" w:rsidTr="00176D85">
        <w:trPr>
          <w:trHeight w:val="590"/>
        </w:trPr>
        <w:tc>
          <w:tcPr>
            <w:tcW w:w="9776" w:type="dxa"/>
            <w:shd w:val="clear" w:color="auto" w:fill="F2F2F2" w:themeFill="background1" w:themeFillShade="F2"/>
            <w:hideMark/>
          </w:tcPr>
          <w:p w14:paraId="2088CF5E" w14:textId="6DF25BD6" w:rsidR="00BF4D1E" w:rsidRPr="00C623AC" w:rsidRDefault="00BF4D1E" w:rsidP="00B117D1">
            <w:pPr>
              <w:spacing w:after="80"/>
              <w:rPr>
                <w:rFonts w:asciiTheme="majorHAnsi" w:hAnsiTheme="majorHAnsi" w:cstheme="majorHAnsi"/>
                <w:szCs w:val="22"/>
              </w:rPr>
            </w:pPr>
            <w:r w:rsidRPr="00C623AC">
              <w:rPr>
                <w:rFonts w:asciiTheme="majorHAnsi" w:hAnsiTheme="majorHAnsi" w:cstheme="majorHAnsi"/>
              </w:rPr>
              <w:t xml:space="preserve">The Inspector-General believes that an enhanced star ratings program has much positive potential and advocates that effective and strategically </w:t>
            </w:r>
            <w:r w:rsidR="00D830F8" w:rsidRPr="00C623AC">
              <w:rPr>
                <w:rFonts w:asciiTheme="majorHAnsi" w:hAnsiTheme="majorHAnsi" w:cstheme="majorHAnsi"/>
              </w:rPr>
              <w:t>focused</w:t>
            </w:r>
            <w:r w:rsidRPr="00C623AC">
              <w:rPr>
                <w:rFonts w:asciiTheme="majorHAnsi" w:hAnsiTheme="majorHAnsi" w:cstheme="majorHAnsi"/>
              </w:rPr>
              <w:t xml:space="preserve"> communications strategies be used to educate the community.</w:t>
            </w:r>
          </w:p>
        </w:tc>
      </w:tr>
      <w:tr w:rsidR="00BF4D1E" w:rsidRPr="00C623AC" w14:paraId="2967D334" w14:textId="77777777" w:rsidTr="00CE7584">
        <w:trPr>
          <w:trHeight w:val="336"/>
        </w:trPr>
        <w:tc>
          <w:tcPr>
            <w:tcW w:w="9776" w:type="dxa"/>
            <w:shd w:val="clear" w:color="auto" w:fill="78226D" w:themeFill="accent4"/>
            <w:hideMark/>
          </w:tcPr>
          <w:p w14:paraId="6F65A495" w14:textId="3CA87D49" w:rsidR="00BF4D1E" w:rsidRPr="00C623AC" w:rsidRDefault="00BF4D1E" w:rsidP="00FE48BE">
            <w:pPr>
              <w:spacing w:after="120"/>
              <w:rPr>
                <w:rFonts w:asciiTheme="majorHAnsi" w:hAnsiTheme="majorHAnsi" w:cstheme="majorHAnsi"/>
                <w:b/>
                <w:bCs/>
                <w:szCs w:val="22"/>
              </w:rPr>
            </w:pPr>
            <w:r w:rsidRPr="00FE48BE">
              <w:rPr>
                <w:rFonts w:asciiTheme="majorHAnsi" w:eastAsiaTheme="minorHAnsi" w:hAnsiTheme="majorHAnsi" w:cstheme="majorHAnsi"/>
                <w:b/>
                <w:bCs/>
                <w:color w:val="FFFFFF" w:themeColor="background1"/>
                <w:kern w:val="2"/>
                <w:szCs w:val="22"/>
                <w:lang w:eastAsia="en-US"/>
                <w14:ligatures w14:val="standardContextual"/>
              </w:rPr>
              <w:t>Chapter 5: Ensuring an appropriate and secure workforce</w:t>
            </w:r>
          </w:p>
        </w:tc>
      </w:tr>
      <w:tr w:rsidR="00BF4D1E" w:rsidRPr="00C623AC" w14:paraId="15CDF352" w14:textId="77777777" w:rsidTr="00176D85">
        <w:trPr>
          <w:trHeight w:val="590"/>
        </w:trPr>
        <w:tc>
          <w:tcPr>
            <w:tcW w:w="9776" w:type="dxa"/>
            <w:shd w:val="clear" w:color="auto" w:fill="F2F2F2" w:themeFill="background1" w:themeFillShade="F2"/>
            <w:hideMark/>
          </w:tcPr>
          <w:p w14:paraId="0F1E3B19" w14:textId="5998C55D"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The Inspector-General welcomes the significant funding injection provided by</w:t>
            </w:r>
            <w:r w:rsidR="006447E6" w:rsidRPr="00C623AC">
              <w:rPr>
                <w:rFonts w:asciiTheme="majorHAnsi" w:hAnsiTheme="majorHAnsi" w:cstheme="majorHAnsi"/>
              </w:rPr>
              <w:t xml:space="preserve"> the</w:t>
            </w:r>
            <w:r w:rsidRPr="00C623AC">
              <w:rPr>
                <w:rFonts w:asciiTheme="majorHAnsi" w:hAnsiTheme="majorHAnsi" w:cstheme="majorHAnsi"/>
              </w:rPr>
              <w:t xml:space="preserve"> </w:t>
            </w:r>
            <w:r w:rsidR="00C83358" w:rsidRPr="00C623AC">
              <w:rPr>
                <w:rFonts w:asciiTheme="majorHAnsi" w:hAnsiTheme="majorHAnsi" w:cstheme="majorHAnsi"/>
              </w:rPr>
              <w:t>government</w:t>
            </w:r>
            <w:r w:rsidRPr="00C623AC">
              <w:rPr>
                <w:rFonts w:asciiTheme="majorHAnsi" w:hAnsiTheme="majorHAnsi" w:cstheme="majorHAnsi"/>
              </w:rPr>
              <w:t xml:space="preserve"> in response to the Fair Work Commission’s decision and considers it a significant step </w:t>
            </w:r>
            <w:r w:rsidRPr="00C623AC" w:rsidDel="006447E6">
              <w:rPr>
                <w:rFonts w:asciiTheme="majorHAnsi" w:hAnsiTheme="majorHAnsi" w:cstheme="majorHAnsi"/>
              </w:rPr>
              <w:t xml:space="preserve">forward </w:t>
            </w:r>
            <w:r w:rsidRPr="00C623AC">
              <w:rPr>
                <w:rFonts w:asciiTheme="majorHAnsi" w:hAnsiTheme="majorHAnsi" w:cstheme="majorHAnsi"/>
              </w:rPr>
              <w:t xml:space="preserve">in supporting the aged care workforce and addressing workforce shortages. </w:t>
            </w:r>
          </w:p>
        </w:tc>
      </w:tr>
      <w:tr w:rsidR="00BF4D1E" w:rsidRPr="00C623AC" w14:paraId="1FE2413E" w14:textId="77777777" w:rsidTr="00176D85">
        <w:trPr>
          <w:trHeight w:val="590"/>
        </w:trPr>
        <w:tc>
          <w:tcPr>
            <w:tcW w:w="9776" w:type="dxa"/>
            <w:shd w:val="clear" w:color="auto" w:fill="F2F2F2" w:themeFill="background1" w:themeFillShade="F2"/>
            <w:hideMark/>
          </w:tcPr>
          <w:p w14:paraId="18FC3DF9" w14:textId="0C5B6F51"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calls on </w:t>
            </w:r>
            <w:r w:rsidR="006447E6" w:rsidRPr="00C623AC">
              <w:rPr>
                <w:rFonts w:asciiTheme="majorHAnsi" w:hAnsiTheme="majorHAnsi" w:cstheme="majorHAnsi"/>
              </w:rPr>
              <w:t xml:space="preserve">the </w:t>
            </w:r>
            <w:r w:rsidR="00C83358" w:rsidRPr="00C623AC">
              <w:rPr>
                <w:rFonts w:asciiTheme="majorHAnsi" w:hAnsiTheme="majorHAnsi" w:cstheme="majorHAnsi"/>
              </w:rPr>
              <w:t>government</w:t>
            </w:r>
            <w:r w:rsidRPr="00C623AC">
              <w:rPr>
                <w:rFonts w:asciiTheme="majorHAnsi" w:hAnsiTheme="majorHAnsi" w:cstheme="majorHAnsi"/>
              </w:rPr>
              <w:t xml:space="preserve"> to undertake a systemic review of the reasons for variable workforce shortages and consider targeted options to work with providers to support the attraction, </w:t>
            </w:r>
            <w:proofErr w:type="gramStart"/>
            <w:r w:rsidRPr="00C623AC">
              <w:rPr>
                <w:rFonts w:asciiTheme="majorHAnsi" w:hAnsiTheme="majorHAnsi" w:cstheme="majorHAnsi"/>
              </w:rPr>
              <w:t>retention</w:t>
            </w:r>
            <w:proofErr w:type="gramEnd"/>
            <w:r w:rsidRPr="00C623AC">
              <w:rPr>
                <w:rFonts w:asciiTheme="majorHAnsi" w:hAnsiTheme="majorHAnsi" w:cstheme="majorHAnsi"/>
              </w:rPr>
              <w:t xml:space="preserve"> and development of the aged care workforce to best</w:t>
            </w:r>
            <w:r w:rsidR="002601E1" w:rsidRPr="00C623AC">
              <w:rPr>
                <w:rFonts w:asciiTheme="majorHAnsi" w:hAnsiTheme="majorHAnsi" w:cstheme="majorHAnsi"/>
              </w:rPr>
              <w:t>-</w:t>
            </w:r>
            <w:r w:rsidRPr="00C623AC">
              <w:rPr>
                <w:rFonts w:asciiTheme="majorHAnsi" w:hAnsiTheme="majorHAnsi" w:cstheme="majorHAnsi"/>
              </w:rPr>
              <w:t>practice levels</w:t>
            </w:r>
            <w:r w:rsidR="00C83358" w:rsidRPr="00C623AC">
              <w:rPr>
                <w:rFonts w:asciiTheme="majorHAnsi" w:hAnsiTheme="majorHAnsi" w:cstheme="majorHAnsi"/>
              </w:rPr>
              <w:t>, including</w:t>
            </w:r>
            <w:r w:rsidRPr="00C623AC">
              <w:rPr>
                <w:rFonts w:asciiTheme="majorHAnsi" w:hAnsiTheme="majorHAnsi" w:cstheme="majorHAnsi"/>
              </w:rPr>
              <w:t xml:space="preserve"> addressing factors outside a provider’s control. </w:t>
            </w:r>
          </w:p>
        </w:tc>
      </w:tr>
      <w:tr w:rsidR="00BF4D1E" w:rsidRPr="00C623AC" w14:paraId="47715FE5" w14:textId="77777777" w:rsidTr="00176D85">
        <w:trPr>
          <w:trHeight w:val="880"/>
        </w:trPr>
        <w:tc>
          <w:tcPr>
            <w:tcW w:w="9776" w:type="dxa"/>
            <w:shd w:val="clear" w:color="auto" w:fill="F2F2F2" w:themeFill="background1" w:themeFillShade="F2"/>
            <w:hideMark/>
          </w:tcPr>
          <w:p w14:paraId="45ED9B73" w14:textId="28771770"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With the ageing of the Australian population likely to further increase demand for nurses across the </w:t>
            </w:r>
            <w:r w:rsidR="00C83358" w:rsidRPr="00C623AC">
              <w:rPr>
                <w:rFonts w:asciiTheme="majorHAnsi" w:hAnsiTheme="majorHAnsi" w:cstheme="majorHAnsi"/>
              </w:rPr>
              <w:t>health</w:t>
            </w:r>
            <w:r w:rsidRPr="00C623AC">
              <w:rPr>
                <w:rFonts w:asciiTheme="majorHAnsi" w:hAnsiTheme="majorHAnsi" w:cstheme="majorHAnsi"/>
              </w:rPr>
              <w:t xml:space="preserve"> and aged care sectors, and the simultaneous ageing of the nursing workforce, the Inspector-General supports high</w:t>
            </w:r>
            <w:r w:rsidR="002601E1" w:rsidRPr="00C623AC">
              <w:rPr>
                <w:rFonts w:asciiTheme="majorHAnsi" w:hAnsiTheme="majorHAnsi" w:cstheme="majorHAnsi"/>
              </w:rPr>
              <w:t>-</w:t>
            </w:r>
            <w:r w:rsidRPr="00C623AC">
              <w:rPr>
                <w:rFonts w:asciiTheme="majorHAnsi" w:hAnsiTheme="majorHAnsi" w:cstheme="majorHAnsi"/>
              </w:rPr>
              <w:t xml:space="preserve">priority action by </w:t>
            </w:r>
            <w:r w:rsidR="002601E1" w:rsidRPr="00C623AC">
              <w:rPr>
                <w:rFonts w:asciiTheme="majorHAnsi" w:hAnsiTheme="majorHAnsi" w:cstheme="majorHAnsi"/>
              </w:rPr>
              <w:t xml:space="preserve">the </w:t>
            </w:r>
            <w:r w:rsidR="00C83358" w:rsidRPr="00C623AC">
              <w:rPr>
                <w:rFonts w:asciiTheme="majorHAnsi" w:hAnsiTheme="majorHAnsi" w:cstheme="majorHAnsi"/>
              </w:rPr>
              <w:t>government</w:t>
            </w:r>
            <w:r w:rsidRPr="00C623AC">
              <w:rPr>
                <w:rFonts w:asciiTheme="majorHAnsi" w:hAnsiTheme="majorHAnsi" w:cstheme="majorHAnsi"/>
              </w:rPr>
              <w:t xml:space="preserve"> to address the existing </w:t>
            </w:r>
            <w:r w:rsidRPr="00C623AC" w:rsidDel="007D4E2D">
              <w:rPr>
                <w:rFonts w:asciiTheme="majorHAnsi" w:hAnsiTheme="majorHAnsi" w:cstheme="majorHAnsi"/>
              </w:rPr>
              <w:t xml:space="preserve">nursing </w:t>
            </w:r>
            <w:r w:rsidRPr="00C623AC">
              <w:rPr>
                <w:rFonts w:asciiTheme="majorHAnsi" w:hAnsiTheme="majorHAnsi" w:cstheme="majorHAnsi"/>
              </w:rPr>
              <w:t>shortfall</w:t>
            </w:r>
            <w:r w:rsidR="007D4E2D" w:rsidRPr="00C623AC">
              <w:rPr>
                <w:rFonts w:asciiTheme="majorHAnsi" w:hAnsiTheme="majorHAnsi" w:cstheme="majorHAnsi"/>
              </w:rPr>
              <w:t xml:space="preserve"> in </w:t>
            </w:r>
            <w:r w:rsidRPr="00C623AC">
              <w:rPr>
                <w:rFonts w:asciiTheme="majorHAnsi" w:hAnsiTheme="majorHAnsi" w:cstheme="majorHAnsi"/>
              </w:rPr>
              <w:t xml:space="preserve">Australia and encourage </w:t>
            </w:r>
            <w:r w:rsidR="00C83358" w:rsidRPr="00C623AC">
              <w:rPr>
                <w:rFonts w:asciiTheme="majorHAnsi" w:hAnsiTheme="majorHAnsi" w:cstheme="majorHAnsi"/>
              </w:rPr>
              <w:t>the</w:t>
            </w:r>
            <w:r w:rsidRPr="00C623AC" w:rsidDel="00D83265">
              <w:rPr>
                <w:rFonts w:asciiTheme="majorHAnsi" w:hAnsiTheme="majorHAnsi" w:cstheme="majorHAnsi"/>
              </w:rPr>
              <w:t xml:space="preserve"> </w:t>
            </w:r>
            <w:r w:rsidRPr="00C623AC">
              <w:rPr>
                <w:rFonts w:asciiTheme="majorHAnsi" w:hAnsiTheme="majorHAnsi" w:cstheme="majorHAnsi"/>
              </w:rPr>
              <w:t xml:space="preserve">sustained growth of the nursing workforce. </w:t>
            </w:r>
          </w:p>
        </w:tc>
      </w:tr>
      <w:tr w:rsidR="00BF4D1E" w:rsidRPr="00C623AC" w14:paraId="29B323D2" w14:textId="77777777" w:rsidTr="00176D85">
        <w:trPr>
          <w:trHeight w:val="590"/>
        </w:trPr>
        <w:tc>
          <w:tcPr>
            <w:tcW w:w="9776" w:type="dxa"/>
            <w:shd w:val="clear" w:color="auto" w:fill="F2F2F2" w:themeFill="background1" w:themeFillShade="F2"/>
            <w:hideMark/>
          </w:tcPr>
          <w:p w14:paraId="6378BB37" w14:textId="31B2A0A7"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considers </w:t>
            </w:r>
            <w:r w:rsidR="002601E1" w:rsidRPr="00C623AC">
              <w:rPr>
                <w:rFonts w:asciiTheme="majorHAnsi" w:hAnsiTheme="majorHAnsi" w:cstheme="majorHAnsi"/>
              </w:rPr>
              <w:t xml:space="preserve">the </w:t>
            </w:r>
            <w:r w:rsidR="00C83358" w:rsidRPr="00C623AC">
              <w:rPr>
                <w:rFonts w:asciiTheme="majorHAnsi" w:hAnsiTheme="majorHAnsi" w:cstheme="majorHAnsi"/>
              </w:rPr>
              <w:t>government</w:t>
            </w:r>
            <w:r w:rsidRPr="00C623AC">
              <w:rPr>
                <w:rFonts w:asciiTheme="majorHAnsi" w:hAnsiTheme="majorHAnsi" w:cstheme="majorHAnsi"/>
              </w:rPr>
              <w:t xml:space="preserve"> should </w:t>
            </w:r>
            <w:r w:rsidRPr="00C623AC" w:rsidDel="00F908BF">
              <w:rPr>
                <w:rFonts w:asciiTheme="majorHAnsi" w:hAnsiTheme="majorHAnsi" w:cstheme="majorHAnsi"/>
              </w:rPr>
              <w:t>consider greater reliance</w:t>
            </w:r>
            <w:r w:rsidRPr="00C623AC">
              <w:rPr>
                <w:rFonts w:asciiTheme="majorHAnsi" w:hAnsiTheme="majorHAnsi" w:cstheme="majorHAnsi"/>
              </w:rPr>
              <w:t xml:space="preserve"> on enrolled nurses</w:t>
            </w:r>
            <w:r w:rsidR="00C83358" w:rsidRPr="00C623AC">
              <w:rPr>
                <w:rFonts w:asciiTheme="majorHAnsi" w:hAnsiTheme="majorHAnsi" w:cstheme="majorHAnsi"/>
              </w:rPr>
              <w:t xml:space="preserve"> (ENs),</w:t>
            </w:r>
            <w:r w:rsidRPr="00C623AC">
              <w:rPr>
                <w:rFonts w:asciiTheme="majorHAnsi" w:hAnsiTheme="majorHAnsi" w:cstheme="majorHAnsi"/>
              </w:rPr>
              <w:t xml:space="preserve"> and assistants in nursing</w:t>
            </w:r>
            <w:r w:rsidR="00C83358" w:rsidRPr="00C623AC">
              <w:rPr>
                <w:rFonts w:asciiTheme="majorHAnsi" w:hAnsiTheme="majorHAnsi" w:cstheme="majorHAnsi"/>
              </w:rPr>
              <w:t xml:space="preserve"> (AINs),</w:t>
            </w:r>
            <w:r w:rsidRPr="00C623AC">
              <w:rPr>
                <w:rFonts w:asciiTheme="majorHAnsi" w:hAnsiTheme="majorHAnsi" w:cstheme="majorHAnsi"/>
              </w:rPr>
              <w:t xml:space="preserve"> under </w:t>
            </w:r>
            <w:r w:rsidR="00C83358" w:rsidRPr="00C623AC">
              <w:rPr>
                <w:rFonts w:asciiTheme="majorHAnsi" w:hAnsiTheme="majorHAnsi" w:cstheme="majorHAnsi"/>
              </w:rPr>
              <w:t xml:space="preserve">the </w:t>
            </w:r>
            <w:r w:rsidRPr="00C623AC">
              <w:rPr>
                <w:rFonts w:asciiTheme="majorHAnsi" w:hAnsiTheme="majorHAnsi" w:cstheme="majorHAnsi"/>
              </w:rPr>
              <w:t>suitable direction of a registered nurse</w:t>
            </w:r>
            <w:r w:rsidR="00C83358" w:rsidRPr="00C623AC">
              <w:rPr>
                <w:rFonts w:asciiTheme="majorHAnsi" w:hAnsiTheme="majorHAnsi" w:cstheme="majorHAnsi"/>
              </w:rPr>
              <w:t xml:space="preserve"> (RN),</w:t>
            </w:r>
            <w:r w:rsidRPr="00C623AC">
              <w:rPr>
                <w:rFonts w:asciiTheme="majorHAnsi" w:hAnsiTheme="majorHAnsi" w:cstheme="majorHAnsi"/>
              </w:rPr>
              <w:t xml:space="preserve"> in the move to increase care </w:t>
            </w:r>
            <w:r w:rsidR="00C83358" w:rsidRPr="00C623AC">
              <w:rPr>
                <w:rFonts w:asciiTheme="majorHAnsi" w:hAnsiTheme="majorHAnsi" w:cstheme="majorHAnsi"/>
              </w:rPr>
              <w:t>minute</w:t>
            </w:r>
            <w:r w:rsidRPr="00C623AC">
              <w:rPr>
                <w:rFonts w:asciiTheme="majorHAnsi" w:hAnsiTheme="majorHAnsi" w:cstheme="majorHAnsi"/>
              </w:rPr>
              <w:t xml:space="preserve"> requirements. </w:t>
            </w:r>
          </w:p>
        </w:tc>
      </w:tr>
      <w:tr w:rsidR="00BF4D1E" w:rsidRPr="00C623AC" w14:paraId="248E0572" w14:textId="77777777" w:rsidTr="00176D85">
        <w:trPr>
          <w:trHeight w:val="590"/>
        </w:trPr>
        <w:tc>
          <w:tcPr>
            <w:tcW w:w="9776" w:type="dxa"/>
            <w:shd w:val="clear" w:color="auto" w:fill="F2F2F2" w:themeFill="background1" w:themeFillShade="F2"/>
            <w:hideMark/>
          </w:tcPr>
          <w:p w14:paraId="5871E5E9" w14:textId="5A8863A9"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The Inspector-General recognises the current and increasing diversity of the aged care workforce and the need for providers to be supported by policies and programs that protect their staff, educate their clients</w:t>
            </w:r>
            <w:r w:rsidR="00D83B7D" w:rsidRPr="00C623AC">
              <w:rPr>
                <w:rFonts w:asciiTheme="majorHAnsi" w:hAnsiTheme="majorHAnsi" w:cstheme="majorHAnsi"/>
              </w:rPr>
              <w:t>,</w:t>
            </w:r>
            <w:r w:rsidRPr="00C623AC">
              <w:rPr>
                <w:rFonts w:asciiTheme="majorHAnsi" w:hAnsiTheme="majorHAnsi" w:cstheme="majorHAnsi"/>
              </w:rPr>
              <w:t xml:space="preserve"> and support safe and inclusive work environments. </w:t>
            </w:r>
          </w:p>
        </w:tc>
      </w:tr>
      <w:tr w:rsidR="00BF4D1E" w:rsidRPr="00C623AC" w14:paraId="2BA0F1F2" w14:textId="77777777" w:rsidTr="00CE7584">
        <w:trPr>
          <w:trHeight w:val="137"/>
        </w:trPr>
        <w:tc>
          <w:tcPr>
            <w:tcW w:w="9776" w:type="dxa"/>
            <w:shd w:val="clear" w:color="auto" w:fill="78226D" w:themeFill="accent4"/>
            <w:hideMark/>
          </w:tcPr>
          <w:p w14:paraId="7773AC2B" w14:textId="77777777" w:rsidR="00BF4D1E" w:rsidRPr="00C623AC" w:rsidRDefault="00BF4D1E" w:rsidP="00FE48BE">
            <w:pPr>
              <w:spacing w:after="120"/>
              <w:rPr>
                <w:rFonts w:asciiTheme="majorHAnsi" w:hAnsiTheme="majorHAnsi" w:cstheme="majorHAnsi"/>
                <w:b/>
                <w:bCs/>
                <w:szCs w:val="22"/>
              </w:rPr>
            </w:pPr>
            <w:r w:rsidRPr="00FE48BE">
              <w:rPr>
                <w:rFonts w:asciiTheme="majorHAnsi" w:eastAsiaTheme="minorHAnsi" w:hAnsiTheme="majorHAnsi" w:cstheme="majorHAnsi"/>
                <w:b/>
                <w:bCs/>
                <w:color w:val="FFFFFF" w:themeColor="background1"/>
                <w:kern w:val="2"/>
                <w:szCs w:val="22"/>
                <w:lang w:eastAsia="en-US"/>
                <w14:ligatures w14:val="standardContextual"/>
              </w:rPr>
              <w:t>Chapter 6: Improving access to health care and allied health care</w:t>
            </w:r>
          </w:p>
        </w:tc>
      </w:tr>
      <w:tr w:rsidR="00BF4D1E" w:rsidRPr="00C623AC" w14:paraId="27578E45" w14:textId="77777777" w:rsidTr="00176D85">
        <w:trPr>
          <w:trHeight w:val="900"/>
        </w:trPr>
        <w:tc>
          <w:tcPr>
            <w:tcW w:w="9776" w:type="dxa"/>
            <w:shd w:val="clear" w:color="auto" w:fill="F2F2F2" w:themeFill="background1" w:themeFillShade="F2"/>
            <w:hideMark/>
          </w:tcPr>
          <w:p w14:paraId="586EA25C" w14:textId="5CA1D975"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The Inspector-General considers that there is a clear need for more policy work and substantive action on integrating the health</w:t>
            </w:r>
            <w:r w:rsidRPr="00C623AC" w:rsidDel="00C94D8A">
              <w:rPr>
                <w:rFonts w:asciiTheme="majorHAnsi" w:hAnsiTheme="majorHAnsi" w:cstheme="majorHAnsi"/>
              </w:rPr>
              <w:t xml:space="preserve"> </w:t>
            </w:r>
            <w:r w:rsidRPr="00C623AC">
              <w:rPr>
                <w:rFonts w:asciiTheme="majorHAnsi" w:hAnsiTheme="majorHAnsi" w:cstheme="majorHAnsi"/>
              </w:rPr>
              <w:t xml:space="preserve">and aged care systems around the provision of high-quality care. People in residential care settings should have equal access to health care to those in the community. </w:t>
            </w:r>
            <w:r w:rsidRPr="00C623AC" w:rsidDel="00DB6BE4">
              <w:rPr>
                <w:rFonts w:asciiTheme="majorHAnsi" w:hAnsiTheme="majorHAnsi" w:cstheme="majorHAnsi"/>
              </w:rPr>
              <w:t>Too often i</w:t>
            </w:r>
            <w:r w:rsidRPr="00C623AC">
              <w:rPr>
                <w:rFonts w:asciiTheme="majorHAnsi" w:hAnsiTheme="majorHAnsi" w:cstheme="majorHAnsi"/>
              </w:rPr>
              <w:t xml:space="preserve">t appears </w:t>
            </w:r>
            <w:r w:rsidRPr="00C623AC" w:rsidDel="00DB6BE4">
              <w:rPr>
                <w:rFonts w:asciiTheme="majorHAnsi" w:hAnsiTheme="majorHAnsi" w:cstheme="majorHAnsi"/>
              </w:rPr>
              <w:t xml:space="preserve">that </w:t>
            </w:r>
            <w:r w:rsidRPr="00C623AC">
              <w:rPr>
                <w:rFonts w:asciiTheme="majorHAnsi" w:hAnsiTheme="majorHAnsi" w:cstheme="majorHAnsi"/>
              </w:rPr>
              <w:t xml:space="preserve">access decreases after entry </w:t>
            </w:r>
            <w:r w:rsidR="003F7C79" w:rsidRPr="00C623AC">
              <w:rPr>
                <w:rFonts w:asciiTheme="majorHAnsi" w:hAnsiTheme="majorHAnsi" w:cstheme="majorHAnsi"/>
              </w:rPr>
              <w:t>to</w:t>
            </w:r>
            <w:r w:rsidRPr="00C623AC">
              <w:rPr>
                <w:rFonts w:asciiTheme="majorHAnsi" w:hAnsiTheme="majorHAnsi" w:cstheme="majorHAnsi"/>
              </w:rPr>
              <w:t xml:space="preserve"> residential care.</w:t>
            </w:r>
            <w:r w:rsidR="003F7C79" w:rsidRPr="00C623AC">
              <w:rPr>
                <w:rFonts w:asciiTheme="majorHAnsi" w:hAnsiTheme="majorHAnsi" w:cstheme="majorHAnsi"/>
              </w:rPr>
              <w:t xml:space="preserve">   </w:t>
            </w:r>
          </w:p>
        </w:tc>
      </w:tr>
      <w:tr w:rsidR="00BF4D1E" w:rsidRPr="00C623AC" w14:paraId="5D6D42A9" w14:textId="77777777" w:rsidTr="00176D85">
        <w:trPr>
          <w:trHeight w:val="900"/>
        </w:trPr>
        <w:tc>
          <w:tcPr>
            <w:tcW w:w="9776" w:type="dxa"/>
            <w:shd w:val="clear" w:color="auto" w:fill="F2F2F2" w:themeFill="background1" w:themeFillShade="F2"/>
            <w:hideMark/>
          </w:tcPr>
          <w:p w14:paraId="64F9C7A7" w14:textId="19DABB68"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The Inspector-General supports the Department</w:t>
            </w:r>
            <w:r w:rsidR="00C22583" w:rsidRPr="00C623AC">
              <w:rPr>
                <w:rFonts w:asciiTheme="majorHAnsi" w:hAnsiTheme="majorHAnsi" w:cstheme="majorHAnsi"/>
              </w:rPr>
              <w:t xml:space="preserve"> </w:t>
            </w:r>
            <w:r w:rsidRPr="00C623AC">
              <w:rPr>
                <w:rFonts w:asciiTheme="majorHAnsi" w:hAnsiTheme="majorHAnsi" w:cstheme="majorHAnsi"/>
              </w:rPr>
              <w:t xml:space="preserve">initiating a review of the impact of </w:t>
            </w:r>
            <w:r w:rsidR="00C22583" w:rsidRPr="00C623AC">
              <w:rPr>
                <w:rFonts w:asciiTheme="majorHAnsi" w:hAnsiTheme="majorHAnsi" w:cstheme="majorHAnsi"/>
              </w:rPr>
              <w:t xml:space="preserve">the </w:t>
            </w:r>
            <w:r w:rsidRPr="00C623AC">
              <w:rPr>
                <w:rFonts w:asciiTheme="majorHAnsi" w:hAnsiTheme="majorHAnsi" w:cstheme="majorHAnsi"/>
              </w:rPr>
              <w:t>Australian National</w:t>
            </w:r>
            <w:r w:rsidR="007C60FB" w:rsidRPr="00C623AC">
              <w:rPr>
                <w:rFonts w:asciiTheme="majorHAnsi" w:hAnsiTheme="majorHAnsi" w:cstheme="majorHAnsi"/>
              </w:rPr>
              <w:t xml:space="preserve"> </w:t>
            </w:r>
            <w:r w:rsidRPr="00C623AC">
              <w:rPr>
                <w:rFonts w:asciiTheme="majorHAnsi" w:hAnsiTheme="majorHAnsi" w:cstheme="majorHAnsi"/>
              </w:rPr>
              <w:t>Aged Care Classification (AN-ACC</w:t>
            </w:r>
            <w:r w:rsidR="003F7C79" w:rsidRPr="00C623AC">
              <w:rPr>
                <w:rFonts w:asciiTheme="majorHAnsi" w:hAnsiTheme="majorHAnsi" w:cstheme="majorHAnsi"/>
              </w:rPr>
              <w:t>)</w:t>
            </w:r>
            <w:r w:rsidRPr="00C623AC">
              <w:rPr>
                <w:rFonts w:asciiTheme="majorHAnsi" w:hAnsiTheme="majorHAnsi" w:cstheme="majorHAnsi"/>
              </w:rPr>
              <w:t xml:space="preserve"> and the focus on delivering the </w:t>
            </w:r>
            <w:r w:rsidR="003F7C79" w:rsidRPr="00C623AC">
              <w:rPr>
                <w:rFonts w:asciiTheme="majorHAnsi" w:hAnsiTheme="majorHAnsi" w:cstheme="majorHAnsi"/>
              </w:rPr>
              <w:t xml:space="preserve">required </w:t>
            </w:r>
            <w:r w:rsidRPr="00C623AC">
              <w:rPr>
                <w:rFonts w:asciiTheme="majorHAnsi" w:hAnsiTheme="majorHAnsi" w:cstheme="majorHAnsi"/>
              </w:rPr>
              <w:t>care minutes, on the provision of allied health in residential care settings. In doing so</w:t>
            </w:r>
            <w:r w:rsidR="00DB6BE4" w:rsidRPr="00C623AC">
              <w:rPr>
                <w:rFonts w:asciiTheme="majorHAnsi" w:hAnsiTheme="majorHAnsi" w:cstheme="majorHAnsi"/>
              </w:rPr>
              <w:t>,</w:t>
            </w:r>
            <w:r w:rsidRPr="00C623AC">
              <w:rPr>
                <w:rFonts w:asciiTheme="majorHAnsi" w:hAnsiTheme="majorHAnsi" w:cstheme="majorHAnsi"/>
              </w:rPr>
              <w:t xml:space="preserve"> the Inspector-General suggests the Department consider whether other policies, such as legislating a requirement for providers to spend all their care subsidy on the provision of enablement</w:t>
            </w:r>
            <w:r w:rsidR="00DB6BE4" w:rsidRPr="00C623AC">
              <w:rPr>
                <w:rFonts w:asciiTheme="majorHAnsi" w:hAnsiTheme="majorHAnsi" w:cstheme="majorHAnsi"/>
              </w:rPr>
              <w:t>-</w:t>
            </w:r>
            <w:r w:rsidRPr="00C623AC">
              <w:rPr>
                <w:rFonts w:asciiTheme="majorHAnsi" w:hAnsiTheme="majorHAnsi" w:cstheme="majorHAnsi"/>
              </w:rPr>
              <w:t xml:space="preserve">focused care, could offer an effective means of realising the Royal Commission’s </w:t>
            </w:r>
            <w:r w:rsidRPr="00C623AC" w:rsidDel="00DB6BE4">
              <w:rPr>
                <w:rFonts w:asciiTheme="majorHAnsi" w:hAnsiTheme="majorHAnsi" w:cstheme="majorHAnsi"/>
              </w:rPr>
              <w:t>intent</w:t>
            </w:r>
            <w:r w:rsidR="003F7C79" w:rsidRPr="00C623AC">
              <w:rPr>
                <w:rFonts w:asciiTheme="majorHAnsi" w:hAnsiTheme="majorHAnsi" w:cstheme="majorHAnsi"/>
              </w:rPr>
              <w:t xml:space="preserve">.  </w:t>
            </w:r>
          </w:p>
        </w:tc>
      </w:tr>
      <w:tr w:rsidR="00BF4D1E" w:rsidRPr="00C623AC" w14:paraId="64A68028" w14:textId="77777777" w:rsidTr="00CE7584">
        <w:trPr>
          <w:trHeight w:val="165"/>
        </w:trPr>
        <w:tc>
          <w:tcPr>
            <w:tcW w:w="9776" w:type="dxa"/>
            <w:shd w:val="clear" w:color="auto" w:fill="78226D" w:themeFill="accent4"/>
            <w:hideMark/>
          </w:tcPr>
          <w:p w14:paraId="43A323F0" w14:textId="1F15F60F" w:rsidR="00BF4D1E" w:rsidRPr="00FE48BE" w:rsidRDefault="00BF4D1E" w:rsidP="00FE48BE">
            <w:pPr>
              <w:spacing w:after="120"/>
              <w:rPr>
                <w:rFonts w:asciiTheme="majorHAnsi" w:eastAsiaTheme="minorHAnsi" w:hAnsiTheme="majorHAnsi" w:cstheme="majorHAnsi"/>
                <w:b/>
                <w:bCs/>
                <w:color w:val="FFFFFF" w:themeColor="background1"/>
                <w:kern w:val="2"/>
                <w:szCs w:val="22"/>
                <w:lang w:eastAsia="en-US"/>
                <w14:ligatures w14:val="standardContextual"/>
              </w:rPr>
            </w:pPr>
            <w:r w:rsidRPr="00FE48BE">
              <w:rPr>
                <w:rFonts w:asciiTheme="majorHAnsi" w:eastAsiaTheme="minorHAnsi" w:hAnsiTheme="majorHAnsi" w:cstheme="majorHAnsi"/>
                <w:b/>
                <w:bCs/>
                <w:color w:val="FFFFFF" w:themeColor="background1"/>
                <w:kern w:val="2"/>
                <w:szCs w:val="22"/>
                <w:lang w:eastAsia="en-US"/>
                <w14:ligatures w14:val="standardContextual"/>
              </w:rPr>
              <w:t xml:space="preserve">Chapter 7: Improving access to respite </w:t>
            </w:r>
            <w:r w:rsidR="000805A2">
              <w:rPr>
                <w:rFonts w:asciiTheme="majorHAnsi" w:eastAsiaTheme="minorHAnsi" w:hAnsiTheme="majorHAnsi" w:cstheme="majorHAnsi"/>
                <w:b/>
                <w:bCs/>
                <w:color w:val="FFFFFF" w:themeColor="background1"/>
                <w:kern w:val="2"/>
                <w:szCs w:val="22"/>
                <w:lang w:eastAsia="en-US"/>
                <w14:ligatures w14:val="standardContextual"/>
              </w:rPr>
              <w:t>care</w:t>
            </w:r>
          </w:p>
        </w:tc>
      </w:tr>
      <w:tr w:rsidR="00BF4D1E" w:rsidRPr="00C623AC" w14:paraId="345A16DA" w14:textId="77777777" w:rsidTr="00176D85">
        <w:trPr>
          <w:trHeight w:val="590"/>
        </w:trPr>
        <w:tc>
          <w:tcPr>
            <w:tcW w:w="9776" w:type="dxa"/>
            <w:shd w:val="clear" w:color="auto" w:fill="F2F2F2" w:themeFill="background1" w:themeFillShade="F2"/>
            <w:hideMark/>
          </w:tcPr>
          <w:p w14:paraId="628F73CB" w14:textId="1D959794"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The Inspector-General calls on the Department to develop more comprehensive information about the availability, use and unmet demand for respite care</w:t>
            </w:r>
            <w:r w:rsidR="00C22583" w:rsidRPr="00C623AC">
              <w:rPr>
                <w:rFonts w:asciiTheme="majorHAnsi" w:hAnsiTheme="majorHAnsi" w:cstheme="majorHAnsi"/>
              </w:rPr>
              <w:t>,</w:t>
            </w:r>
            <w:r w:rsidRPr="00C623AC">
              <w:rPr>
                <w:rFonts w:asciiTheme="majorHAnsi" w:hAnsiTheme="majorHAnsi" w:cstheme="majorHAnsi"/>
              </w:rPr>
              <w:t xml:space="preserve"> and make it </w:t>
            </w:r>
            <w:r w:rsidRPr="00C623AC" w:rsidDel="00C22583">
              <w:rPr>
                <w:rFonts w:asciiTheme="majorHAnsi" w:hAnsiTheme="majorHAnsi" w:cstheme="majorHAnsi"/>
              </w:rPr>
              <w:t xml:space="preserve">publicly </w:t>
            </w:r>
            <w:r w:rsidRPr="00C623AC">
              <w:rPr>
                <w:rFonts w:asciiTheme="majorHAnsi" w:hAnsiTheme="majorHAnsi" w:cstheme="majorHAnsi"/>
              </w:rPr>
              <w:t xml:space="preserve">available. </w:t>
            </w:r>
          </w:p>
        </w:tc>
      </w:tr>
      <w:tr w:rsidR="00BF4D1E" w:rsidRPr="00C623AC" w14:paraId="416BD7AB" w14:textId="77777777" w:rsidTr="00176D85">
        <w:trPr>
          <w:trHeight w:val="590"/>
        </w:trPr>
        <w:tc>
          <w:tcPr>
            <w:tcW w:w="9776" w:type="dxa"/>
            <w:shd w:val="clear" w:color="auto" w:fill="F2F2F2" w:themeFill="background1" w:themeFillShade="F2"/>
            <w:hideMark/>
          </w:tcPr>
          <w:p w14:paraId="7F2B7671" w14:textId="7D1B4E62" w:rsidR="00BF4D1E" w:rsidRPr="00C623AC" w:rsidRDefault="005007C7" w:rsidP="0085370A">
            <w:pPr>
              <w:spacing w:after="80"/>
              <w:rPr>
                <w:rFonts w:asciiTheme="majorHAnsi" w:hAnsiTheme="majorHAnsi" w:cstheme="majorHAnsi"/>
                <w:szCs w:val="22"/>
              </w:rPr>
            </w:pPr>
            <w:r w:rsidRPr="00C623AC">
              <w:rPr>
                <w:rFonts w:asciiTheme="majorHAnsi" w:hAnsiTheme="majorHAnsi" w:cstheme="majorHAnsi"/>
              </w:rPr>
              <w:t>The</w:t>
            </w:r>
            <w:r w:rsidR="00BF4D1E" w:rsidRPr="00C623AC">
              <w:rPr>
                <w:rFonts w:asciiTheme="majorHAnsi" w:hAnsiTheme="majorHAnsi" w:cstheme="majorHAnsi"/>
              </w:rPr>
              <w:t xml:space="preserve"> Inspector-General calls on the Department to investigate the current state of respite provision with a view to increasing supply and achieving a better match between service availability and carer needs. </w:t>
            </w:r>
            <w:r w:rsidRPr="00C623AC">
              <w:rPr>
                <w:rFonts w:asciiTheme="majorHAnsi" w:hAnsiTheme="majorHAnsi" w:cstheme="majorHAnsi"/>
              </w:rPr>
              <w:t xml:space="preserve">The </w:t>
            </w:r>
            <w:r w:rsidRPr="00C623AC">
              <w:rPr>
                <w:rFonts w:asciiTheme="majorHAnsi" w:hAnsiTheme="majorHAnsi" w:cstheme="majorHAnsi"/>
              </w:rPr>
              <w:lastRenderedPageBreak/>
              <w:t xml:space="preserve">Department should </w:t>
            </w:r>
            <w:r w:rsidR="00123014" w:rsidRPr="00C623AC">
              <w:rPr>
                <w:rFonts w:asciiTheme="majorHAnsi" w:hAnsiTheme="majorHAnsi" w:cstheme="majorHAnsi"/>
              </w:rPr>
              <w:t xml:space="preserve">also </w:t>
            </w:r>
            <w:r w:rsidRPr="00C623AC">
              <w:rPr>
                <w:rFonts w:asciiTheme="majorHAnsi" w:hAnsiTheme="majorHAnsi" w:cstheme="majorHAnsi"/>
              </w:rPr>
              <w:t>examine</w:t>
            </w:r>
            <w:r w:rsidR="00123014" w:rsidRPr="00C623AC">
              <w:rPr>
                <w:rFonts w:asciiTheme="majorHAnsi" w:hAnsiTheme="majorHAnsi" w:cstheme="majorHAnsi"/>
              </w:rPr>
              <w:t xml:space="preserve"> the </w:t>
            </w:r>
            <w:r w:rsidR="00BF4D1E" w:rsidRPr="00C623AC">
              <w:rPr>
                <w:rFonts w:asciiTheme="majorHAnsi" w:hAnsiTheme="majorHAnsi" w:cstheme="majorHAnsi"/>
              </w:rPr>
              <w:t>adequacy of current funding, as well as broader factors acting as incentives</w:t>
            </w:r>
            <w:r w:rsidR="00EB05A8" w:rsidRPr="00C623AC">
              <w:rPr>
                <w:rFonts w:asciiTheme="majorHAnsi" w:hAnsiTheme="majorHAnsi" w:cstheme="majorHAnsi"/>
              </w:rPr>
              <w:t xml:space="preserve"> </w:t>
            </w:r>
            <w:r w:rsidR="00BF4D1E" w:rsidRPr="00C623AC">
              <w:rPr>
                <w:rFonts w:asciiTheme="majorHAnsi" w:hAnsiTheme="majorHAnsi" w:cstheme="majorHAnsi"/>
              </w:rPr>
              <w:t xml:space="preserve">and disincentives.  </w:t>
            </w:r>
          </w:p>
        </w:tc>
      </w:tr>
      <w:tr w:rsidR="00BF4D1E" w:rsidRPr="00C623AC" w14:paraId="12C1F075" w14:textId="77777777" w:rsidTr="00CE7584">
        <w:trPr>
          <w:trHeight w:val="290"/>
        </w:trPr>
        <w:tc>
          <w:tcPr>
            <w:tcW w:w="9776" w:type="dxa"/>
            <w:shd w:val="clear" w:color="auto" w:fill="78226D" w:themeFill="accent4"/>
            <w:hideMark/>
          </w:tcPr>
          <w:p w14:paraId="613D9675" w14:textId="3D6106B7" w:rsidR="00BF4D1E" w:rsidRPr="00C623AC" w:rsidRDefault="00B10A5E" w:rsidP="00C54388">
            <w:pPr>
              <w:spacing w:after="120"/>
              <w:rPr>
                <w:rFonts w:asciiTheme="majorHAnsi" w:hAnsiTheme="majorHAnsi" w:cstheme="majorHAnsi"/>
                <w:b/>
                <w:bCs/>
                <w:szCs w:val="22"/>
              </w:rPr>
            </w:pPr>
            <w:r>
              <w:rPr>
                <w:rFonts w:eastAsiaTheme="minorHAnsi"/>
                <w:szCs w:val="24"/>
                <w:lang w:eastAsia="en-US"/>
              </w:rPr>
              <w:lastRenderedPageBreak/>
              <w:br w:type="page"/>
            </w:r>
            <w:r w:rsidR="00BF4D1E" w:rsidRPr="00C54388">
              <w:rPr>
                <w:rFonts w:asciiTheme="majorHAnsi" w:eastAsiaTheme="minorHAnsi" w:hAnsiTheme="majorHAnsi" w:cstheme="majorHAnsi"/>
                <w:b/>
                <w:bCs/>
                <w:color w:val="FFFFFF" w:themeColor="background1"/>
                <w:kern w:val="2"/>
                <w:szCs w:val="22"/>
                <w:lang w:eastAsia="en-US"/>
                <w14:ligatures w14:val="standardContextual"/>
              </w:rPr>
              <w:t>Chapter 8: Improving dementia support</w:t>
            </w:r>
          </w:p>
        </w:tc>
      </w:tr>
      <w:tr w:rsidR="00BF4D1E" w:rsidRPr="00C623AC" w14:paraId="69799875" w14:textId="77777777" w:rsidTr="00176D85">
        <w:trPr>
          <w:trHeight w:val="590"/>
        </w:trPr>
        <w:tc>
          <w:tcPr>
            <w:tcW w:w="9776" w:type="dxa"/>
            <w:shd w:val="clear" w:color="auto" w:fill="F2F2F2" w:themeFill="background1" w:themeFillShade="F2"/>
            <w:hideMark/>
          </w:tcPr>
          <w:p w14:paraId="353265D6" w14:textId="5BDE2873"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notes that workforce issues impact access to aged care for people living with dementia, with some providers unwilling to admit people with complex care needs if they do not have </w:t>
            </w:r>
            <w:r w:rsidR="0091657F" w:rsidRPr="00C623AC">
              <w:rPr>
                <w:rFonts w:asciiTheme="majorHAnsi" w:hAnsiTheme="majorHAnsi" w:cstheme="majorHAnsi"/>
              </w:rPr>
              <w:t>sufficient</w:t>
            </w:r>
            <w:r w:rsidRPr="00C623AC" w:rsidDel="00D83265">
              <w:rPr>
                <w:rFonts w:asciiTheme="majorHAnsi" w:hAnsiTheme="majorHAnsi" w:cstheme="majorHAnsi"/>
              </w:rPr>
              <w:t xml:space="preserve"> highly </w:t>
            </w:r>
            <w:r w:rsidRPr="00C623AC">
              <w:rPr>
                <w:rFonts w:asciiTheme="majorHAnsi" w:hAnsiTheme="majorHAnsi" w:cstheme="majorHAnsi"/>
              </w:rPr>
              <w:t xml:space="preserve">skilled personnel to manage their care. </w:t>
            </w:r>
          </w:p>
        </w:tc>
      </w:tr>
      <w:tr w:rsidR="00BF4D1E" w:rsidRPr="00C623AC" w14:paraId="79F4BEDF" w14:textId="77777777" w:rsidTr="00176D85">
        <w:trPr>
          <w:trHeight w:val="300"/>
        </w:trPr>
        <w:tc>
          <w:tcPr>
            <w:tcW w:w="9776" w:type="dxa"/>
            <w:shd w:val="clear" w:color="auto" w:fill="F2F2F2" w:themeFill="background1" w:themeFillShade="F2"/>
            <w:hideMark/>
          </w:tcPr>
          <w:p w14:paraId="78DAB8E9" w14:textId="6D6CB6CB"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calls on the Department to implement further strategies to improve access to aged care for all people living with dementia.  </w:t>
            </w:r>
          </w:p>
        </w:tc>
      </w:tr>
      <w:tr w:rsidR="00BF4D1E" w:rsidRPr="00C623AC" w14:paraId="133491DE" w14:textId="77777777" w:rsidTr="00176D85">
        <w:trPr>
          <w:trHeight w:val="300"/>
        </w:trPr>
        <w:tc>
          <w:tcPr>
            <w:tcW w:w="9776" w:type="dxa"/>
            <w:shd w:val="clear" w:color="auto" w:fill="F2F2F2" w:themeFill="background1" w:themeFillShade="F2"/>
            <w:hideMark/>
          </w:tcPr>
          <w:p w14:paraId="3D4B7782" w14:textId="62EDFCE2"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considers </w:t>
            </w:r>
            <w:r w:rsidRPr="00C623AC" w:rsidDel="00D83265">
              <w:rPr>
                <w:rFonts w:asciiTheme="majorHAnsi" w:hAnsiTheme="majorHAnsi" w:cstheme="majorHAnsi"/>
              </w:rPr>
              <w:t xml:space="preserve">greater </w:t>
            </w:r>
            <w:r w:rsidRPr="00C623AC">
              <w:rPr>
                <w:rFonts w:asciiTheme="majorHAnsi" w:hAnsiTheme="majorHAnsi" w:cstheme="majorHAnsi"/>
              </w:rPr>
              <w:t>awareness</w:t>
            </w:r>
            <w:r w:rsidR="0091657F" w:rsidRPr="00C623AC">
              <w:rPr>
                <w:rFonts w:asciiTheme="majorHAnsi" w:hAnsiTheme="majorHAnsi" w:cstheme="majorHAnsi"/>
              </w:rPr>
              <w:t>-</w:t>
            </w:r>
            <w:r w:rsidRPr="00C623AC" w:rsidDel="00551179">
              <w:rPr>
                <w:rFonts w:asciiTheme="majorHAnsi" w:hAnsiTheme="majorHAnsi" w:cstheme="majorHAnsi"/>
              </w:rPr>
              <w:t>raising may be needed regarding</w:t>
            </w:r>
            <w:r w:rsidRPr="00C623AC">
              <w:rPr>
                <w:rFonts w:asciiTheme="majorHAnsi" w:hAnsiTheme="majorHAnsi" w:cstheme="majorHAnsi"/>
              </w:rPr>
              <w:t xml:space="preserve"> dementia pathways, particularly for key referral points. </w:t>
            </w:r>
          </w:p>
        </w:tc>
      </w:tr>
      <w:tr w:rsidR="00BF4D1E" w:rsidRPr="00C623AC" w14:paraId="60BF2499" w14:textId="77777777" w:rsidTr="00176D85">
        <w:trPr>
          <w:trHeight w:val="590"/>
        </w:trPr>
        <w:tc>
          <w:tcPr>
            <w:tcW w:w="9776" w:type="dxa"/>
            <w:shd w:val="clear" w:color="auto" w:fill="F2F2F2" w:themeFill="background1" w:themeFillShade="F2"/>
            <w:hideMark/>
          </w:tcPr>
          <w:p w14:paraId="62CCAABE" w14:textId="52731598"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While the Inspector-General acknowledges the importance of ensuring dementia pathways reflect local service offerings, there is merit in the Department considering how a ‘baseline’ level of national consistency could be achieved across PHNs. </w:t>
            </w:r>
          </w:p>
        </w:tc>
      </w:tr>
      <w:tr w:rsidR="00BF4D1E" w:rsidRPr="00C623AC" w14:paraId="35E8F46F" w14:textId="77777777" w:rsidTr="00CE7584">
        <w:trPr>
          <w:trHeight w:val="134"/>
        </w:trPr>
        <w:tc>
          <w:tcPr>
            <w:tcW w:w="9776" w:type="dxa"/>
            <w:shd w:val="clear" w:color="auto" w:fill="78226D" w:themeFill="accent4"/>
          </w:tcPr>
          <w:p w14:paraId="1FEBD8CD" w14:textId="51E039D8" w:rsidR="00BF4D1E" w:rsidRPr="00C623AC" w:rsidRDefault="00BF4D1E" w:rsidP="00C54388">
            <w:pPr>
              <w:spacing w:after="120"/>
              <w:rPr>
                <w:rFonts w:asciiTheme="majorHAnsi" w:hAnsiTheme="majorHAnsi" w:cstheme="majorHAnsi"/>
                <w:b/>
                <w:bCs/>
                <w:szCs w:val="22"/>
              </w:rPr>
            </w:pPr>
            <w:r w:rsidRPr="00C54388">
              <w:rPr>
                <w:rFonts w:asciiTheme="majorHAnsi" w:eastAsiaTheme="minorHAnsi" w:hAnsiTheme="majorHAnsi" w:cstheme="majorHAnsi"/>
                <w:b/>
                <w:bCs/>
                <w:color w:val="FFFFFF" w:themeColor="background1"/>
                <w:kern w:val="2"/>
                <w:szCs w:val="22"/>
                <w:lang w:eastAsia="en-US"/>
                <w14:ligatures w14:val="standardContextual"/>
              </w:rPr>
              <w:t>Chapter 9: Supporting First Nations Australians in aged care</w:t>
            </w:r>
          </w:p>
        </w:tc>
      </w:tr>
      <w:tr w:rsidR="00BF4D1E" w:rsidRPr="00C623AC" w14:paraId="2FC9ED9D" w14:textId="77777777" w:rsidTr="00176D85">
        <w:trPr>
          <w:trHeight w:val="880"/>
        </w:trPr>
        <w:tc>
          <w:tcPr>
            <w:tcW w:w="9776" w:type="dxa"/>
            <w:shd w:val="clear" w:color="auto" w:fill="F2F2F2" w:themeFill="background1" w:themeFillShade="F2"/>
            <w:hideMark/>
          </w:tcPr>
          <w:p w14:paraId="44F6167F" w14:textId="1D4C534A"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considers that cultural safety needs to be embedded in aged care programs to ensure </w:t>
            </w:r>
            <w:r w:rsidRPr="00C623AC" w:rsidDel="00D83265">
              <w:rPr>
                <w:rFonts w:asciiTheme="majorHAnsi" w:hAnsiTheme="majorHAnsi" w:cstheme="majorHAnsi"/>
              </w:rPr>
              <w:t xml:space="preserve">culturally appropriate care is always delivered to </w:t>
            </w:r>
            <w:r w:rsidRPr="00C623AC">
              <w:rPr>
                <w:rFonts w:asciiTheme="majorHAnsi" w:hAnsiTheme="majorHAnsi" w:cstheme="majorHAnsi"/>
              </w:rPr>
              <w:t>First Nations Australians</w:t>
            </w:r>
            <w:r w:rsidR="005119DA" w:rsidRPr="00C623AC">
              <w:rPr>
                <w:rFonts w:asciiTheme="majorHAnsi" w:hAnsiTheme="majorHAnsi" w:cstheme="majorHAnsi"/>
              </w:rPr>
              <w:t>.</w:t>
            </w:r>
            <w:r w:rsidRPr="00C623AC">
              <w:rPr>
                <w:rFonts w:asciiTheme="majorHAnsi" w:hAnsiTheme="majorHAnsi" w:cstheme="majorHAnsi"/>
              </w:rPr>
              <w:t xml:space="preserve"> The Inspector-General welcomes the commitment of funds to support </w:t>
            </w:r>
            <w:r w:rsidR="005119DA" w:rsidRPr="00C623AC">
              <w:rPr>
                <w:rFonts w:asciiTheme="majorHAnsi" w:hAnsiTheme="majorHAnsi" w:cstheme="majorHAnsi"/>
              </w:rPr>
              <w:t>cultural</w:t>
            </w:r>
            <w:r w:rsidRPr="00C623AC">
              <w:rPr>
                <w:rFonts w:asciiTheme="majorHAnsi" w:hAnsiTheme="majorHAnsi" w:cstheme="majorHAnsi"/>
              </w:rPr>
              <w:t xml:space="preserve"> safe</w:t>
            </w:r>
            <w:r w:rsidRPr="00C623AC" w:rsidDel="00D83265">
              <w:rPr>
                <w:rFonts w:asciiTheme="majorHAnsi" w:hAnsiTheme="majorHAnsi" w:cstheme="majorHAnsi"/>
              </w:rPr>
              <w:t>ty</w:t>
            </w:r>
            <w:r w:rsidRPr="00C623AC">
              <w:rPr>
                <w:rFonts w:asciiTheme="majorHAnsi" w:hAnsiTheme="majorHAnsi" w:cstheme="majorHAnsi"/>
              </w:rPr>
              <w:t xml:space="preserve">, </w:t>
            </w:r>
            <w:r w:rsidR="005119DA" w:rsidRPr="00C623AC">
              <w:rPr>
                <w:rFonts w:asciiTheme="majorHAnsi" w:hAnsiTheme="majorHAnsi" w:cstheme="majorHAnsi"/>
              </w:rPr>
              <w:t xml:space="preserve">and the adoption of </w:t>
            </w:r>
            <w:r w:rsidRPr="00C623AC">
              <w:rPr>
                <w:rFonts w:asciiTheme="majorHAnsi" w:hAnsiTheme="majorHAnsi" w:cstheme="majorHAnsi"/>
              </w:rPr>
              <w:t xml:space="preserve">trauma-aware and healing-informed care principles and training across all aged care services. </w:t>
            </w:r>
          </w:p>
        </w:tc>
      </w:tr>
      <w:tr w:rsidR="00BF4D1E" w:rsidRPr="00C623AC" w14:paraId="49464243" w14:textId="77777777" w:rsidTr="00176D85">
        <w:trPr>
          <w:trHeight w:val="880"/>
        </w:trPr>
        <w:tc>
          <w:tcPr>
            <w:tcW w:w="9776" w:type="dxa"/>
            <w:shd w:val="clear" w:color="auto" w:fill="F2F2F2" w:themeFill="background1" w:themeFillShade="F2"/>
            <w:hideMark/>
          </w:tcPr>
          <w:p w14:paraId="70AD73F4" w14:textId="463EF66F"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considers there is a need for the Commonwealth to consult more broadly and </w:t>
            </w:r>
            <w:r w:rsidRPr="00C623AC" w:rsidDel="00F2247F">
              <w:rPr>
                <w:rFonts w:asciiTheme="majorHAnsi" w:hAnsiTheme="majorHAnsi" w:cstheme="majorHAnsi"/>
              </w:rPr>
              <w:t xml:space="preserve">more </w:t>
            </w:r>
            <w:r w:rsidRPr="00C623AC">
              <w:rPr>
                <w:rFonts w:asciiTheme="majorHAnsi" w:hAnsiTheme="majorHAnsi" w:cstheme="majorHAnsi"/>
              </w:rPr>
              <w:t xml:space="preserve">frequently with First Nations elders, </w:t>
            </w:r>
            <w:proofErr w:type="gramStart"/>
            <w:r w:rsidRPr="00C623AC">
              <w:rPr>
                <w:rFonts w:asciiTheme="majorHAnsi" w:hAnsiTheme="majorHAnsi" w:cstheme="majorHAnsi"/>
              </w:rPr>
              <w:t>advocates</w:t>
            </w:r>
            <w:proofErr w:type="gramEnd"/>
            <w:r w:rsidRPr="00C623AC">
              <w:rPr>
                <w:rFonts w:asciiTheme="majorHAnsi" w:hAnsiTheme="majorHAnsi" w:cstheme="majorHAnsi"/>
              </w:rPr>
              <w:t xml:space="preserve"> and providers to support the transition to a new aged care system. There is also a need to communicate a ‘strategic vision’ about the future of aged care for First Nations Australians, similar to the need </w:t>
            </w:r>
            <w:r w:rsidRPr="00C623AC" w:rsidDel="00F2247F">
              <w:rPr>
                <w:rFonts w:asciiTheme="majorHAnsi" w:hAnsiTheme="majorHAnsi" w:cstheme="majorHAnsi"/>
              </w:rPr>
              <w:t xml:space="preserve">for this </w:t>
            </w:r>
            <w:r w:rsidRPr="00C623AC">
              <w:rPr>
                <w:rFonts w:asciiTheme="majorHAnsi" w:hAnsiTheme="majorHAnsi" w:cstheme="majorHAnsi"/>
              </w:rPr>
              <w:t>across the whole aged care reform program.</w:t>
            </w:r>
          </w:p>
        </w:tc>
      </w:tr>
      <w:tr w:rsidR="00BF4D1E" w:rsidRPr="00C623AC" w14:paraId="7FDDBCD3" w14:textId="77777777" w:rsidTr="00176D85">
        <w:trPr>
          <w:trHeight w:val="590"/>
        </w:trPr>
        <w:tc>
          <w:tcPr>
            <w:tcW w:w="9776" w:type="dxa"/>
            <w:shd w:val="clear" w:color="auto" w:fill="F2F2F2" w:themeFill="background1" w:themeFillShade="F2"/>
            <w:hideMark/>
          </w:tcPr>
          <w:p w14:paraId="2768F077" w14:textId="00BD2043" w:rsidR="00BF4D1E" w:rsidRPr="00C623AC" w:rsidRDefault="00BF4D1E" w:rsidP="0085370A">
            <w:pPr>
              <w:spacing w:after="80"/>
              <w:contextualSpacing/>
              <w:rPr>
                <w:rFonts w:asciiTheme="majorHAnsi" w:hAnsiTheme="majorHAnsi" w:cstheme="majorHAnsi"/>
                <w:szCs w:val="22"/>
              </w:rPr>
            </w:pPr>
            <w:r w:rsidRPr="00C623AC">
              <w:rPr>
                <w:rFonts w:asciiTheme="majorHAnsi" w:hAnsiTheme="majorHAnsi" w:cstheme="majorHAnsi"/>
              </w:rPr>
              <w:t xml:space="preserve">The Inspector-General recognises systemic reform is a complex process and will continue to report on the integration and co-design of the aged care system with First Nations elders, </w:t>
            </w:r>
            <w:proofErr w:type="gramStart"/>
            <w:r w:rsidRPr="00C623AC">
              <w:rPr>
                <w:rFonts w:asciiTheme="majorHAnsi" w:hAnsiTheme="majorHAnsi" w:cstheme="majorHAnsi"/>
              </w:rPr>
              <w:t>advocates</w:t>
            </w:r>
            <w:proofErr w:type="gramEnd"/>
            <w:r w:rsidRPr="00C623AC">
              <w:rPr>
                <w:rFonts w:asciiTheme="majorHAnsi" w:hAnsiTheme="majorHAnsi" w:cstheme="majorHAnsi"/>
              </w:rPr>
              <w:t xml:space="preserve"> and communities.</w:t>
            </w:r>
          </w:p>
        </w:tc>
      </w:tr>
      <w:tr w:rsidR="00BF4D1E" w:rsidRPr="00C623AC" w14:paraId="7573F40C" w14:textId="77777777" w:rsidTr="00CE7584">
        <w:trPr>
          <w:trHeight w:val="372"/>
        </w:trPr>
        <w:tc>
          <w:tcPr>
            <w:tcW w:w="9776" w:type="dxa"/>
            <w:shd w:val="clear" w:color="auto" w:fill="78226D" w:themeFill="accent4"/>
            <w:hideMark/>
          </w:tcPr>
          <w:p w14:paraId="78A1E24F" w14:textId="77777777" w:rsidR="00BF4D1E" w:rsidRPr="00C623AC" w:rsidRDefault="00BF4D1E" w:rsidP="00C54388">
            <w:pPr>
              <w:spacing w:after="120"/>
              <w:rPr>
                <w:rFonts w:asciiTheme="majorHAnsi" w:hAnsiTheme="majorHAnsi" w:cstheme="majorHAnsi"/>
                <w:b/>
                <w:bCs/>
                <w:szCs w:val="22"/>
              </w:rPr>
            </w:pPr>
            <w:r w:rsidRPr="00C54388">
              <w:rPr>
                <w:rFonts w:asciiTheme="majorHAnsi" w:eastAsiaTheme="minorHAnsi" w:hAnsiTheme="majorHAnsi" w:cstheme="majorHAnsi"/>
                <w:b/>
                <w:bCs/>
                <w:color w:val="FFFFFF" w:themeColor="background1"/>
                <w:kern w:val="2"/>
                <w:szCs w:val="22"/>
                <w:lang w:eastAsia="en-US"/>
                <w14:ligatures w14:val="standardContextual"/>
              </w:rPr>
              <w:t>Chapter 10: Designing for diversity in aged care</w:t>
            </w:r>
          </w:p>
        </w:tc>
      </w:tr>
      <w:tr w:rsidR="00BF4D1E" w:rsidRPr="00C623AC" w14:paraId="7DA07C98" w14:textId="77777777" w:rsidTr="00176D85">
        <w:trPr>
          <w:trHeight w:val="590"/>
        </w:trPr>
        <w:tc>
          <w:tcPr>
            <w:tcW w:w="9776" w:type="dxa"/>
            <w:shd w:val="clear" w:color="auto" w:fill="F2F2F2" w:themeFill="background1" w:themeFillShade="F2"/>
            <w:hideMark/>
          </w:tcPr>
          <w:p w14:paraId="7C665A3B" w14:textId="4D6C559D"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considers the </w:t>
            </w:r>
            <w:r w:rsidR="00F02140" w:rsidRPr="00C623AC">
              <w:rPr>
                <w:rFonts w:asciiTheme="majorHAnsi" w:hAnsiTheme="majorHAnsi" w:cstheme="majorHAnsi"/>
              </w:rPr>
              <w:t>government</w:t>
            </w:r>
            <w:r w:rsidRPr="00C623AC">
              <w:rPr>
                <w:rFonts w:asciiTheme="majorHAnsi" w:hAnsiTheme="majorHAnsi" w:cstheme="majorHAnsi"/>
              </w:rPr>
              <w:t xml:space="preserve"> needs to do more to ensure people from diverse backgrounds </w:t>
            </w:r>
            <w:r w:rsidRPr="00C623AC" w:rsidDel="00F2247F">
              <w:rPr>
                <w:rFonts w:asciiTheme="majorHAnsi" w:hAnsiTheme="majorHAnsi" w:cstheme="majorHAnsi"/>
              </w:rPr>
              <w:t xml:space="preserve">are </w:t>
            </w:r>
            <w:r w:rsidRPr="00C623AC">
              <w:rPr>
                <w:rFonts w:asciiTheme="majorHAnsi" w:hAnsiTheme="majorHAnsi" w:cstheme="majorHAnsi"/>
              </w:rPr>
              <w:t>welcome</w:t>
            </w:r>
            <w:r w:rsidR="00F2247F" w:rsidRPr="00C623AC">
              <w:rPr>
                <w:rFonts w:asciiTheme="majorHAnsi" w:hAnsiTheme="majorHAnsi" w:cstheme="majorHAnsi"/>
              </w:rPr>
              <w:t xml:space="preserve"> </w:t>
            </w:r>
            <w:r w:rsidRPr="00C623AC">
              <w:rPr>
                <w:rFonts w:asciiTheme="majorHAnsi" w:hAnsiTheme="majorHAnsi" w:cstheme="majorHAnsi"/>
              </w:rPr>
              <w:t xml:space="preserve">in aged care settings, </w:t>
            </w:r>
            <w:r w:rsidRPr="00C623AC" w:rsidDel="00F2247F">
              <w:rPr>
                <w:rFonts w:asciiTheme="majorHAnsi" w:hAnsiTheme="majorHAnsi" w:cstheme="majorHAnsi"/>
              </w:rPr>
              <w:t xml:space="preserve">that they feel accepted, </w:t>
            </w:r>
            <w:r w:rsidRPr="00C623AC">
              <w:rPr>
                <w:rFonts w:asciiTheme="majorHAnsi" w:hAnsiTheme="majorHAnsi" w:cstheme="majorHAnsi"/>
              </w:rPr>
              <w:t xml:space="preserve">and their specific needs are recognised and met. </w:t>
            </w:r>
          </w:p>
        </w:tc>
      </w:tr>
      <w:tr w:rsidR="00BF4D1E" w:rsidRPr="00C623AC" w14:paraId="6A41DBD2" w14:textId="77777777" w:rsidTr="00176D85">
        <w:trPr>
          <w:trHeight w:val="880"/>
        </w:trPr>
        <w:tc>
          <w:tcPr>
            <w:tcW w:w="9776" w:type="dxa"/>
            <w:shd w:val="clear" w:color="auto" w:fill="F2F2F2" w:themeFill="background1" w:themeFillShade="F2"/>
            <w:hideMark/>
          </w:tcPr>
          <w:p w14:paraId="10D8DA78" w14:textId="0F6EE94A"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The Inspector-General considers that to best facilitate and support diversity in aged care, the provision of individualised, person-centred care needs to be at the core of the transformational reform agenda. Although ‘person</w:t>
            </w:r>
            <w:r w:rsidR="00F2247F" w:rsidRPr="00C623AC">
              <w:rPr>
                <w:rFonts w:asciiTheme="majorHAnsi" w:hAnsiTheme="majorHAnsi" w:cstheme="majorHAnsi"/>
              </w:rPr>
              <w:t>-</w:t>
            </w:r>
            <w:r w:rsidRPr="00C623AC">
              <w:rPr>
                <w:rFonts w:asciiTheme="majorHAnsi" w:hAnsiTheme="majorHAnsi" w:cstheme="majorHAnsi"/>
              </w:rPr>
              <w:t xml:space="preserve">centred’ has been the mantra of many in aged care for some years, as discussed in Chapter 2, the evidence suggests that </w:t>
            </w:r>
            <w:r w:rsidR="00F02140" w:rsidRPr="00C623AC">
              <w:rPr>
                <w:rFonts w:asciiTheme="majorHAnsi" w:hAnsiTheme="majorHAnsi" w:cstheme="majorHAnsi"/>
              </w:rPr>
              <w:t>this</w:t>
            </w:r>
            <w:r w:rsidRPr="00C623AC">
              <w:rPr>
                <w:rFonts w:asciiTheme="majorHAnsi" w:hAnsiTheme="majorHAnsi" w:cstheme="majorHAnsi"/>
              </w:rPr>
              <w:t xml:space="preserve"> </w:t>
            </w:r>
            <w:r w:rsidR="00F2247F" w:rsidRPr="00C623AC">
              <w:rPr>
                <w:rFonts w:asciiTheme="majorHAnsi" w:hAnsiTheme="majorHAnsi" w:cstheme="majorHAnsi"/>
              </w:rPr>
              <w:t xml:space="preserve">is </w:t>
            </w:r>
            <w:r w:rsidRPr="00C623AC">
              <w:rPr>
                <w:rFonts w:asciiTheme="majorHAnsi" w:hAnsiTheme="majorHAnsi" w:cstheme="majorHAnsi"/>
              </w:rPr>
              <w:t>still not how most of the system and services are designed. Many services may be increasingly person-responsive, but they are not yet, as a rule, person-centred.</w:t>
            </w:r>
          </w:p>
        </w:tc>
      </w:tr>
      <w:tr w:rsidR="00BF4D1E" w:rsidRPr="00C623AC" w14:paraId="05E599AA" w14:textId="77777777" w:rsidTr="00176D85">
        <w:trPr>
          <w:trHeight w:val="590"/>
        </w:trPr>
        <w:tc>
          <w:tcPr>
            <w:tcW w:w="9776" w:type="dxa"/>
            <w:shd w:val="clear" w:color="auto" w:fill="F2F2F2" w:themeFill="background1" w:themeFillShade="F2"/>
            <w:hideMark/>
          </w:tcPr>
          <w:p w14:paraId="7B9B0A43" w14:textId="524DA8A9"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believes it is critical the reforms of the aged care system support a redesigned system devoid of assumptions of ‘mainstream’ and ‘diverse’ approaches to care. The system must </w:t>
            </w:r>
            <w:r w:rsidRPr="00C623AC" w:rsidDel="00F2247F">
              <w:rPr>
                <w:rFonts w:asciiTheme="majorHAnsi" w:hAnsiTheme="majorHAnsi" w:cstheme="majorHAnsi"/>
              </w:rPr>
              <w:t xml:space="preserve">be </w:t>
            </w:r>
            <w:r w:rsidRPr="00C623AC">
              <w:rPr>
                <w:rFonts w:asciiTheme="majorHAnsi" w:hAnsiTheme="majorHAnsi" w:cstheme="majorHAnsi"/>
              </w:rPr>
              <w:t>genuinely</w:t>
            </w:r>
            <w:r w:rsidR="00F2247F" w:rsidRPr="00C623AC">
              <w:rPr>
                <w:rFonts w:asciiTheme="majorHAnsi" w:hAnsiTheme="majorHAnsi" w:cstheme="majorHAnsi"/>
              </w:rPr>
              <w:t xml:space="preserve"> </w:t>
            </w:r>
            <w:r w:rsidRPr="00C623AC">
              <w:rPr>
                <w:rFonts w:asciiTheme="majorHAnsi" w:hAnsiTheme="majorHAnsi" w:cstheme="majorHAnsi"/>
              </w:rPr>
              <w:t>‘each</w:t>
            </w:r>
            <w:r w:rsidRPr="00C623AC" w:rsidDel="00F2247F">
              <w:rPr>
                <w:rFonts w:asciiTheme="majorHAnsi" w:hAnsiTheme="majorHAnsi" w:cstheme="majorHAnsi"/>
              </w:rPr>
              <w:t>-</w:t>
            </w:r>
            <w:r w:rsidRPr="00C623AC">
              <w:rPr>
                <w:rFonts w:asciiTheme="majorHAnsi" w:hAnsiTheme="majorHAnsi" w:cstheme="majorHAnsi"/>
              </w:rPr>
              <w:t>person’</w:t>
            </w:r>
            <w:r w:rsidRPr="00C623AC" w:rsidDel="00F2247F">
              <w:rPr>
                <w:rFonts w:asciiTheme="majorHAnsi" w:hAnsiTheme="majorHAnsi" w:cstheme="majorHAnsi"/>
              </w:rPr>
              <w:t xml:space="preserve"> focused and designed</w:t>
            </w:r>
            <w:r w:rsidRPr="00C623AC">
              <w:rPr>
                <w:rFonts w:asciiTheme="majorHAnsi" w:hAnsiTheme="majorHAnsi" w:cstheme="majorHAnsi"/>
              </w:rPr>
              <w:t>.</w:t>
            </w:r>
          </w:p>
        </w:tc>
      </w:tr>
      <w:tr w:rsidR="00BF4D1E" w:rsidRPr="00C623AC" w14:paraId="6CF3486F" w14:textId="77777777" w:rsidTr="00CE7584">
        <w:trPr>
          <w:trHeight w:val="268"/>
        </w:trPr>
        <w:tc>
          <w:tcPr>
            <w:tcW w:w="9776" w:type="dxa"/>
            <w:shd w:val="clear" w:color="auto" w:fill="78226D" w:themeFill="accent4"/>
            <w:hideMark/>
          </w:tcPr>
          <w:p w14:paraId="5444C2D5" w14:textId="77777777" w:rsidR="00BF4D1E" w:rsidRPr="00C623AC" w:rsidRDefault="00BF4D1E" w:rsidP="00C54388">
            <w:pPr>
              <w:spacing w:after="120"/>
              <w:rPr>
                <w:rFonts w:asciiTheme="majorHAnsi" w:hAnsiTheme="majorHAnsi" w:cstheme="majorHAnsi"/>
                <w:b/>
                <w:bCs/>
                <w:szCs w:val="22"/>
              </w:rPr>
            </w:pPr>
            <w:r w:rsidRPr="00C54388">
              <w:rPr>
                <w:rFonts w:asciiTheme="majorHAnsi" w:eastAsiaTheme="minorHAnsi" w:hAnsiTheme="majorHAnsi" w:cstheme="majorHAnsi"/>
                <w:b/>
                <w:bCs/>
                <w:color w:val="FFFFFF" w:themeColor="background1"/>
                <w:kern w:val="2"/>
                <w:szCs w:val="22"/>
                <w:lang w:eastAsia="en-US"/>
                <w14:ligatures w14:val="standardContextual"/>
              </w:rPr>
              <w:t xml:space="preserve">Chapter 11: Improving access in regional, </w:t>
            </w:r>
            <w:proofErr w:type="gramStart"/>
            <w:r w:rsidRPr="00C54388">
              <w:rPr>
                <w:rFonts w:asciiTheme="majorHAnsi" w:eastAsiaTheme="minorHAnsi" w:hAnsiTheme="majorHAnsi" w:cstheme="majorHAnsi"/>
                <w:b/>
                <w:bCs/>
                <w:color w:val="FFFFFF" w:themeColor="background1"/>
                <w:kern w:val="2"/>
                <w:szCs w:val="22"/>
                <w:lang w:eastAsia="en-US"/>
                <w14:ligatures w14:val="standardContextual"/>
              </w:rPr>
              <w:t>rural</w:t>
            </w:r>
            <w:proofErr w:type="gramEnd"/>
            <w:r w:rsidRPr="00C54388">
              <w:rPr>
                <w:rFonts w:asciiTheme="majorHAnsi" w:eastAsiaTheme="minorHAnsi" w:hAnsiTheme="majorHAnsi" w:cstheme="majorHAnsi"/>
                <w:b/>
                <w:bCs/>
                <w:color w:val="FFFFFF" w:themeColor="background1"/>
                <w:kern w:val="2"/>
                <w:szCs w:val="22"/>
                <w:lang w:eastAsia="en-US"/>
                <w14:ligatures w14:val="standardContextual"/>
              </w:rPr>
              <w:t xml:space="preserve"> and remote areas</w:t>
            </w:r>
          </w:p>
        </w:tc>
      </w:tr>
      <w:tr w:rsidR="00BF4D1E" w:rsidRPr="00C623AC" w14:paraId="351A6878" w14:textId="77777777" w:rsidTr="00176D85">
        <w:trPr>
          <w:trHeight w:val="880"/>
        </w:trPr>
        <w:tc>
          <w:tcPr>
            <w:tcW w:w="9776" w:type="dxa"/>
            <w:shd w:val="clear" w:color="auto" w:fill="F2F2F2" w:themeFill="background1" w:themeFillShade="F2"/>
            <w:hideMark/>
          </w:tcPr>
          <w:p w14:paraId="4C2EA91C" w14:textId="06201C74"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acknowledges that while governments are working together to address nursing shortages, there is an urgent need to boost numbers in regional, </w:t>
            </w:r>
            <w:proofErr w:type="gramStart"/>
            <w:r w:rsidRPr="00C623AC">
              <w:rPr>
                <w:rFonts w:asciiTheme="majorHAnsi" w:hAnsiTheme="majorHAnsi" w:cstheme="majorHAnsi"/>
              </w:rPr>
              <w:t>rural</w:t>
            </w:r>
            <w:proofErr w:type="gramEnd"/>
            <w:r w:rsidRPr="00C623AC">
              <w:rPr>
                <w:rFonts w:asciiTheme="majorHAnsi" w:hAnsiTheme="majorHAnsi" w:cstheme="majorHAnsi"/>
              </w:rPr>
              <w:t xml:space="preserve"> and remote areas now. Strategies – and tangible actions – are also needed to build the non-nursing aged care workforce. </w:t>
            </w:r>
            <w:r w:rsidRPr="00C623AC" w:rsidDel="00DD176E">
              <w:rPr>
                <w:rFonts w:asciiTheme="majorHAnsi" w:hAnsiTheme="majorHAnsi" w:cstheme="majorHAnsi"/>
              </w:rPr>
              <w:t>A</w:t>
            </w:r>
            <w:r w:rsidRPr="00C623AC">
              <w:rPr>
                <w:rFonts w:asciiTheme="majorHAnsi" w:hAnsiTheme="majorHAnsi" w:cstheme="majorHAnsi"/>
              </w:rPr>
              <w:t xml:space="preserve">ppropriate assistance </w:t>
            </w:r>
            <w:r w:rsidRPr="00C623AC" w:rsidDel="00DD176E">
              <w:rPr>
                <w:rFonts w:asciiTheme="majorHAnsi" w:hAnsiTheme="majorHAnsi" w:cstheme="majorHAnsi"/>
              </w:rPr>
              <w:t>for</w:t>
            </w:r>
            <w:r w:rsidRPr="00C623AC">
              <w:rPr>
                <w:rFonts w:asciiTheme="majorHAnsi" w:hAnsiTheme="majorHAnsi" w:cstheme="majorHAnsi"/>
              </w:rPr>
              <w:t xml:space="preserve"> providers is also critical to ensuring broader availability of aged care. </w:t>
            </w:r>
          </w:p>
        </w:tc>
      </w:tr>
      <w:tr w:rsidR="00BF4D1E" w:rsidRPr="00C623AC" w14:paraId="51E857B1" w14:textId="77777777" w:rsidTr="00176D85">
        <w:trPr>
          <w:trHeight w:val="880"/>
        </w:trPr>
        <w:tc>
          <w:tcPr>
            <w:tcW w:w="9776" w:type="dxa"/>
            <w:shd w:val="clear" w:color="auto" w:fill="F2F2F2" w:themeFill="background1" w:themeFillShade="F2"/>
            <w:hideMark/>
          </w:tcPr>
          <w:p w14:paraId="5126A081" w14:textId="55F7E637"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The Inspector-General looks forward to</w:t>
            </w:r>
            <w:r w:rsidR="00F2247F" w:rsidRPr="00C623AC">
              <w:rPr>
                <w:rFonts w:asciiTheme="majorHAnsi" w:hAnsiTheme="majorHAnsi" w:cstheme="majorHAnsi"/>
              </w:rPr>
              <w:t xml:space="preserve"> the</w:t>
            </w:r>
            <w:r w:rsidRPr="00C623AC">
              <w:rPr>
                <w:rFonts w:asciiTheme="majorHAnsi" w:hAnsiTheme="majorHAnsi" w:cstheme="majorHAnsi"/>
              </w:rPr>
              <w:t xml:space="preserve"> Independent Health and Aged Care Pricing Authority (IHACPA) transitioning to a point where it </w:t>
            </w:r>
            <w:r w:rsidRPr="00C623AC" w:rsidDel="004205B5">
              <w:rPr>
                <w:rFonts w:asciiTheme="majorHAnsi" w:hAnsiTheme="majorHAnsi" w:cstheme="majorHAnsi"/>
              </w:rPr>
              <w:t xml:space="preserve">is </w:t>
            </w:r>
            <w:r w:rsidR="0056403A" w:rsidRPr="00C623AC">
              <w:rPr>
                <w:rFonts w:asciiTheme="majorHAnsi" w:hAnsiTheme="majorHAnsi" w:cstheme="majorHAnsi"/>
              </w:rPr>
              <w:t>providing</w:t>
            </w:r>
            <w:r w:rsidRPr="00C623AC">
              <w:rPr>
                <w:rFonts w:asciiTheme="majorHAnsi" w:hAnsiTheme="majorHAnsi" w:cstheme="majorHAnsi"/>
              </w:rPr>
              <w:t xml:space="preserve"> more comprehensive advice to </w:t>
            </w:r>
            <w:r w:rsidR="00F2247F" w:rsidRPr="00C623AC">
              <w:rPr>
                <w:rFonts w:asciiTheme="majorHAnsi" w:hAnsiTheme="majorHAnsi" w:cstheme="majorHAnsi"/>
              </w:rPr>
              <w:t xml:space="preserve">the </w:t>
            </w:r>
            <w:r w:rsidR="0056403A" w:rsidRPr="00C623AC">
              <w:rPr>
                <w:rFonts w:asciiTheme="majorHAnsi" w:hAnsiTheme="majorHAnsi" w:cstheme="majorHAnsi"/>
              </w:rPr>
              <w:t>government</w:t>
            </w:r>
            <w:r w:rsidRPr="00C623AC">
              <w:rPr>
                <w:rFonts w:asciiTheme="majorHAnsi" w:hAnsiTheme="majorHAnsi" w:cstheme="majorHAnsi"/>
              </w:rPr>
              <w:t xml:space="preserve"> on the AN-ACC model, including the appropriateness of the current Base Care Tariff. In this regard</w:t>
            </w:r>
            <w:r w:rsidR="00F2247F" w:rsidRPr="00C623AC">
              <w:rPr>
                <w:rFonts w:asciiTheme="majorHAnsi" w:hAnsiTheme="majorHAnsi" w:cstheme="majorHAnsi"/>
              </w:rPr>
              <w:t>,</w:t>
            </w:r>
            <w:r w:rsidRPr="00C623AC">
              <w:rPr>
                <w:rFonts w:asciiTheme="majorHAnsi" w:hAnsiTheme="majorHAnsi" w:cstheme="majorHAnsi"/>
              </w:rPr>
              <w:t xml:space="preserve"> the Inspector-General </w:t>
            </w:r>
            <w:r w:rsidRPr="00C623AC">
              <w:rPr>
                <w:rFonts w:asciiTheme="majorHAnsi" w:hAnsiTheme="majorHAnsi" w:cstheme="majorHAnsi"/>
              </w:rPr>
              <w:lastRenderedPageBreak/>
              <w:t xml:space="preserve">considers </w:t>
            </w:r>
            <w:r w:rsidRPr="00C623AC" w:rsidDel="00F2247F">
              <w:rPr>
                <w:rFonts w:asciiTheme="majorHAnsi" w:hAnsiTheme="majorHAnsi" w:cstheme="majorHAnsi"/>
              </w:rPr>
              <w:t xml:space="preserve">that </w:t>
            </w:r>
            <w:r w:rsidRPr="00C623AC">
              <w:rPr>
                <w:rFonts w:asciiTheme="majorHAnsi" w:hAnsiTheme="majorHAnsi" w:cstheme="majorHAnsi"/>
              </w:rPr>
              <w:t>it is critical that IHACPA’s advice is based on the most comprehensive</w:t>
            </w:r>
            <w:r w:rsidRPr="00C623AC" w:rsidDel="0096015C">
              <w:rPr>
                <w:rFonts w:asciiTheme="majorHAnsi" w:hAnsiTheme="majorHAnsi" w:cstheme="majorHAnsi"/>
              </w:rPr>
              <w:t xml:space="preserve"> and</w:t>
            </w:r>
            <w:r w:rsidRPr="00C623AC">
              <w:rPr>
                <w:rFonts w:asciiTheme="majorHAnsi" w:hAnsiTheme="majorHAnsi" w:cstheme="majorHAnsi"/>
              </w:rPr>
              <w:t xml:space="preserve"> real-time data on the actual cost of delivering care.</w:t>
            </w:r>
          </w:p>
        </w:tc>
      </w:tr>
      <w:tr w:rsidR="00BF4D1E" w:rsidRPr="00C623AC" w14:paraId="14A2DF16" w14:textId="77777777" w:rsidTr="00176D85">
        <w:trPr>
          <w:trHeight w:val="300"/>
        </w:trPr>
        <w:tc>
          <w:tcPr>
            <w:tcW w:w="9776" w:type="dxa"/>
            <w:shd w:val="clear" w:color="auto" w:fill="F2F2F2" w:themeFill="background1" w:themeFillShade="F2"/>
            <w:hideMark/>
          </w:tcPr>
          <w:p w14:paraId="5979118B" w14:textId="30BCE5F4"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lastRenderedPageBreak/>
              <w:t xml:space="preserve">The Inspector-General considers there is an urgent need for </w:t>
            </w:r>
            <w:r w:rsidR="0096015C" w:rsidRPr="00C623AC">
              <w:rPr>
                <w:rFonts w:asciiTheme="majorHAnsi" w:hAnsiTheme="majorHAnsi" w:cstheme="majorHAnsi"/>
              </w:rPr>
              <w:t xml:space="preserve">the </w:t>
            </w:r>
            <w:r w:rsidR="0056403A" w:rsidRPr="00C623AC">
              <w:rPr>
                <w:rFonts w:asciiTheme="majorHAnsi" w:hAnsiTheme="majorHAnsi" w:cstheme="majorHAnsi"/>
              </w:rPr>
              <w:t>government</w:t>
            </w:r>
            <w:r w:rsidRPr="00C623AC">
              <w:rPr>
                <w:rFonts w:asciiTheme="majorHAnsi" w:hAnsiTheme="majorHAnsi" w:cstheme="majorHAnsi"/>
              </w:rPr>
              <w:t xml:space="preserve"> to consider the sufficiency of the current Base Care Tariff across non-metropolitan areas. </w:t>
            </w:r>
          </w:p>
        </w:tc>
      </w:tr>
      <w:tr w:rsidR="00BF4D1E" w:rsidRPr="00C623AC" w14:paraId="228BEFEF" w14:textId="77777777" w:rsidTr="00176D85">
        <w:trPr>
          <w:trHeight w:val="590"/>
        </w:trPr>
        <w:tc>
          <w:tcPr>
            <w:tcW w:w="9776" w:type="dxa"/>
            <w:shd w:val="clear" w:color="auto" w:fill="F2F2F2" w:themeFill="background1" w:themeFillShade="F2"/>
            <w:hideMark/>
          </w:tcPr>
          <w:p w14:paraId="4754FD73" w14:textId="66DEE777" w:rsidR="00BF4D1E" w:rsidRPr="00C623AC" w:rsidRDefault="00BF4D1E" w:rsidP="0085370A">
            <w:pPr>
              <w:spacing w:after="80"/>
              <w:rPr>
                <w:rFonts w:asciiTheme="majorHAnsi" w:hAnsiTheme="majorHAnsi" w:cstheme="majorHAnsi"/>
                <w:szCs w:val="22"/>
              </w:rPr>
            </w:pPr>
            <w:r w:rsidRPr="00C623AC">
              <w:rPr>
                <w:rFonts w:asciiTheme="majorHAnsi" w:hAnsiTheme="majorHAnsi" w:cstheme="majorHAnsi"/>
              </w:rPr>
              <w:t xml:space="preserve">The Inspector-General acknowledges further consideration is being given to measures to support </w:t>
            </w:r>
            <w:r w:rsidR="005A7E11" w:rsidRPr="00C623AC">
              <w:rPr>
                <w:rFonts w:asciiTheme="majorHAnsi" w:hAnsiTheme="majorHAnsi" w:cstheme="majorHAnsi"/>
              </w:rPr>
              <w:t xml:space="preserve">the </w:t>
            </w:r>
            <w:r w:rsidRPr="00C623AC">
              <w:rPr>
                <w:rFonts w:asciiTheme="majorHAnsi" w:hAnsiTheme="majorHAnsi" w:cstheme="majorHAnsi"/>
              </w:rPr>
              <w:t xml:space="preserve">provision of aged care services in regional, </w:t>
            </w:r>
            <w:proofErr w:type="gramStart"/>
            <w:r w:rsidRPr="00C623AC">
              <w:rPr>
                <w:rFonts w:asciiTheme="majorHAnsi" w:hAnsiTheme="majorHAnsi" w:cstheme="majorHAnsi"/>
              </w:rPr>
              <w:t>rural</w:t>
            </w:r>
            <w:proofErr w:type="gramEnd"/>
            <w:r w:rsidRPr="00C623AC">
              <w:rPr>
                <w:rFonts w:asciiTheme="majorHAnsi" w:hAnsiTheme="majorHAnsi" w:cstheme="majorHAnsi"/>
              </w:rPr>
              <w:t xml:space="preserve"> and remote locations</w:t>
            </w:r>
            <w:r w:rsidR="005A7E11" w:rsidRPr="00C623AC">
              <w:rPr>
                <w:rFonts w:asciiTheme="majorHAnsi" w:hAnsiTheme="majorHAnsi" w:cstheme="majorHAnsi"/>
              </w:rPr>
              <w:t>,</w:t>
            </w:r>
            <w:r w:rsidRPr="00C623AC">
              <w:rPr>
                <w:rFonts w:asciiTheme="majorHAnsi" w:hAnsiTheme="majorHAnsi" w:cstheme="majorHAnsi"/>
              </w:rPr>
              <w:t xml:space="preserve"> and notes the complexity of current barriers impacting the aged care workforce across Australia. </w:t>
            </w:r>
          </w:p>
        </w:tc>
      </w:tr>
      <w:tr w:rsidR="00BF4D1E" w:rsidRPr="00C623AC" w14:paraId="70B30A5B" w14:textId="77777777" w:rsidTr="00CE7584">
        <w:trPr>
          <w:trHeight w:val="300"/>
        </w:trPr>
        <w:tc>
          <w:tcPr>
            <w:tcW w:w="9776" w:type="dxa"/>
            <w:shd w:val="clear" w:color="auto" w:fill="78226D" w:themeFill="accent4"/>
            <w:hideMark/>
          </w:tcPr>
          <w:p w14:paraId="6D805E6A" w14:textId="77777777" w:rsidR="00BF4D1E" w:rsidRPr="00C623AC" w:rsidRDefault="00BF4D1E" w:rsidP="00C54388">
            <w:pPr>
              <w:spacing w:after="120"/>
              <w:rPr>
                <w:rFonts w:asciiTheme="majorHAnsi" w:hAnsiTheme="majorHAnsi" w:cstheme="majorHAnsi"/>
                <w:b/>
                <w:bCs/>
                <w:szCs w:val="22"/>
              </w:rPr>
            </w:pPr>
            <w:r w:rsidRPr="00C54388">
              <w:rPr>
                <w:rFonts w:asciiTheme="majorHAnsi" w:eastAsiaTheme="minorHAnsi" w:hAnsiTheme="majorHAnsi" w:cstheme="majorHAnsi"/>
                <w:b/>
                <w:bCs/>
                <w:color w:val="FFFFFF" w:themeColor="background1"/>
                <w:kern w:val="2"/>
                <w:szCs w:val="22"/>
                <w:lang w:eastAsia="en-US"/>
                <w14:ligatures w14:val="standardContextual"/>
              </w:rPr>
              <w:t>Conclusion</w:t>
            </w:r>
          </w:p>
        </w:tc>
      </w:tr>
      <w:tr w:rsidR="00BF4D1E" w:rsidRPr="00C623AC" w14:paraId="07AEBB51" w14:textId="77777777" w:rsidTr="00176D85">
        <w:trPr>
          <w:trHeight w:val="290"/>
        </w:trPr>
        <w:tc>
          <w:tcPr>
            <w:tcW w:w="9776" w:type="dxa"/>
            <w:shd w:val="clear" w:color="auto" w:fill="F2F2F2" w:themeFill="background1" w:themeFillShade="F2"/>
            <w:hideMark/>
          </w:tcPr>
          <w:p w14:paraId="277EB456" w14:textId="77777777" w:rsidR="00BF4D1E" w:rsidRPr="00C623AC" w:rsidRDefault="00BF4D1E" w:rsidP="00927E36">
            <w:p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In conclusion, the Inspector-General calls for:</w:t>
            </w:r>
          </w:p>
          <w:p w14:paraId="42D90D4D" w14:textId="77777777" w:rsidR="00927E36" w:rsidRPr="00C623AC" w:rsidRDefault="00927E36" w:rsidP="003001A6">
            <w:pPr>
              <w:numPr>
                <w:ilvl w:val="0"/>
                <w:numId w:val="16"/>
              </w:num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the government to establish an aged care system based on an entitlement to all forms of support and care an individual is assessed as needing</w:t>
            </w:r>
          </w:p>
          <w:p w14:paraId="1BE01672" w14:textId="77777777" w:rsidR="00927E36" w:rsidRPr="00C623AC" w:rsidRDefault="00927E36" w:rsidP="003001A6">
            <w:pPr>
              <w:numPr>
                <w:ilvl w:val="0"/>
                <w:numId w:val="16"/>
              </w:num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as part of finalising the new Act, consideration of sector and community views, and preparation of a subsequent complete version for introduction to Parliament as soon as practicable</w:t>
            </w:r>
          </w:p>
          <w:p w14:paraId="7EC9D439" w14:textId="77777777" w:rsidR="00927E36" w:rsidRPr="00C623AC" w:rsidRDefault="00927E36" w:rsidP="003001A6">
            <w:pPr>
              <w:numPr>
                <w:ilvl w:val="0"/>
                <w:numId w:val="16"/>
              </w:num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sufficient home care funding to meet demand</w:t>
            </w:r>
          </w:p>
          <w:p w14:paraId="1FDF937B" w14:textId="77777777" w:rsidR="00927E36" w:rsidRPr="00C623AC" w:rsidRDefault="00927E36" w:rsidP="003001A6">
            <w:pPr>
              <w:numPr>
                <w:ilvl w:val="0"/>
                <w:numId w:val="16"/>
              </w:num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the government to build sector confidence</w:t>
            </w:r>
          </w:p>
          <w:p w14:paraId="5F29AA6D" w14:textId="77777777" w:rsidR="00927E36" w:rsidRPr="00C623AC" w:rsidRDefault="00927E36" w:rsidP="003001A6">
            <w:pPr>
              <w:numPr>
                <w:ilvl w:val="0"/>
                <w:numId w:val="16"/>
              </w:num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perverse incentives and outcomes to be addressed</w:t>
            </w:r>
          </w:p>
          <w:p w14:paraId="5C7C0225" w14:textId="77777777" w:rsidR="00927E36" w:rsidRPr="00C623AC" w:rsidRDefault="00927E36" w:rsidP="003001A6">
            <w:pPr>
              <w:numPr>
                <w:ilvl w:val="0"/>
                <w:numId w:val="16"/>
              </w:num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steps to ensure</w:t>
            </w:r>
            <w:r w:rsidR="006164F4" w:rsidRPr="00C623AC" w:rsidDel="00456D47">
              <w:rPr>
                <w:rFonts w:asciiTheme="majorHAnsi" w:eastAsiaTheme="minorEastAsia" w:hAnsiTheme="majorHAnsi" w:cstheme="majorHAnsi"/>
                <w:szCs w:val="24"/>
                <w:lang w:eastAsia="ko-KR"/>
              </w:rPr>
              <w:t xml:space="preserve"> </w:t>
            </w:r>
            <w:r w:rsidR="006164F4" w:rsidRPr="00C623AC">
              <w:rPr>
                <w:rFonts w:asciiTheme="majorHAnsi" w:eastAsiaTheme="minorEastAsia" w:hAnsiTheme="majorHAnsi" w:cstheme="majorHAnsi"/>
                <w:szCs w:val="24"/>
                <w:lang w:eastAsia="ko-KR"/>
              </w:rPr>
              <w:t xml:space="preserve">AN-ACC funding </w:t>
            </w:r>
            <w:r w:rsidR="006164F4" w:rsidRPr="00C623AC" w:rsidDel="00456D47">
              <w:rPr>
                <w:rFonts w:asciiTheme="majorHAnsi" w:eastAsiaTheme="minorEastAsia" w:hAnsiTheme="majorHAnsi" w:cstheme="majorHAnsi"/>
                <w:szCs w:val="24"/>
                <w:lang w:eastAsia="ko-KR"/>
              </w:rPr>
              <w:t xml:space="preserve">is </w:t>
            </w:r>
            <w:r w:rsidR="006164F4" w:rsidRPr="00C623AC">
              <w:rPr>
                <w:rFonts w:asciiTheme="majorHAnsi" w:eastAsiaTheme="minorEastAsia" w:hAnsiTheme="majorHAnsi" w:cstheme="majorHAnsi"/>
                <w:szCs w:val="24"/>
                <w:lang w:eastAsia="ko-KR"/>
              </w:rPr>
              <w:t>sufficient</w:t>
            </w:r>
          </w:p>
          <w:p w14:paraId="1FA13D05" w14:textId="42371528" w:rsidR="006164F4" w:rsidRPr="00C623AC" w:rsidRDefault="00927E36" w:rsidP="003001A6">
            <w:pPr>
              <w:numPr>
                <w:ilvl w:val="0"/>
                <w:numId w:val="16"/>
              </w:numPr>
              <w:rPr>
                <w:rFonts w:asciiTheme="majorHAnsi" w:eastAsiaTheme="minorEastAsia" w:hAnsiTheme="majorHAnsi" w:cstheme="majorHAnsi"/>
                <w:szCs w:val="24"/>
                <w:lang w:eastAsia="ko-KR"/>
              </w:rPr>
            </w:pPr>
            <w:r w:rsidRPr="00C623AC">
              <w:rPr>
                <w:rFonts w:asciiTheme="majorHAnsi" w:eastAsiaTheme="minorEastAsia" w:hAnsiTheme="majorHAnsi" w:cstheme="majorHAnsi"/>
                <w:szCs w:val="24"/>
                <w:lang w:eastAsia="ko-KR"/>
              </w:rPr>
              <w:t xml:space="preserve">Commonwealth agencies to take stock of relevant Royal Commission recommendations and consider whether the measures and actions implemented to date, or likely to be </w:t>
            </w:r>
            <w:r w:rsidR="00BF0EFA" w:rsidRPr="00C623AC">
              <w:rPr>
                <w:rFonts w:asciiTheme="majorHAnsi" w:eastAsiaTheme="minorEastAsia" w:hAnsiTheme="majorHAnsi" w:cstheme="majorHAnsi"/>
                <w:szCs w:val="24"/>
                <w:lang w:eastAsia="ko-KR"/>
              </w:rPr>
              <w:t xml:space="preserve">in </w:t>
            </w:r>
            <w:r w:rsidRPr="00C623AC">
              <w:rPr>
                <w:rFonts w:asciiTheme="majorHAnsi" w:eastAsiaTheme="minorEastAsia" w:hAnsiTheme="majorHAnsi" w:cstheme="majorHAnsi"/>
                <w:szCs w:val="24"/>
                <w:lang w:eastAsia="ko-KR"/>
              </w:rPr>
              <w:t xml:space="preserve">place by 1 January 2025, address the totality of what the Royal Commission called for, or alternatively the broad intent. </w:t>
            </w:r>
          </w:p>
        </w:tc>
      </w:tr>
    </w:tbl>
    <w:p w14:paraId="0C24A646" w14:textId="7586E40B" w:rsidR="00A70D6D" w:rsidRPr="00C623AC" w:rsidRDefault="00A70D6D" w:rsidP="00F1020B">
      <w:pPr>
        <w:rPr>
          <w:rFonts w:asciiTheme="majorHAnsi" w:hAnsiTheme="majorHAnsi" w:cstheme="majorHAnsi"/>
          <w:szCs w:val="22"/>
        </w:rPr>
      </w:pPr>
    </w:p>
    <w:sectPr w:rsidR="00A70D6D" w:rsidRPr="00C623AC" w:rsidSect="007208F7">
      <w:pgSz w:w="11906" w:h="16838"/>
      <w:pgMar w:top="1588" w:right="1134" w:bottom="1021" w:left="1134" w:header="709" w:footer="7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D535" w14:textId="77777777" w:rsidR="00F25DB8" w:rsidRDefault="00F25DB8" w:rsidP="00AA3591">
      <w:pPr>
        <w:spacing w:after="0" w:line="240" w:lineRule="auto"/>
      </w:pPr>
      <w:r>
        <w:separator/>
      </w:r>
    </w:p>
  </w:endnote>
  <w:endnote w:type="continuationSeparator" w:id="0">
    <w:p w14:paraId="35EBD332" w14:textId="77777777" w:rsidR="00F25DB8" w:rsidRDefault="00F25DB8" w:rsidP="00AA3591">
      <w:pPr>
        <w:spacing w:after="0" w:line="240" w:lineRule="auto"/>
      </w:pPr>
      <w:r>
        <w:continuationSeparator/>
      </w:r>
    </w:p>
  </w:endnote>
  <w:endnote w:type="continuationNotice" w:id="1">
    <w:p w14:paraId="5245D3FF" w14:textId="77777777" w:rsidR="00F25DB8" w:rsidRDefault="00F25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02826"/>
      <w:docPartObj>
        <w:docPartGallery w:val="Page Numbers (Bottom of Page)"/>
        <w:docPartUnique/>
      </w:docPartObj>
    </w:sdtPr>
    <w:sdtEndPr>
      <w:rPr>
        <w:noProof/>
      </w:rPr>
    </w:sdtEndPr>
    <w:sdtContent>
      <w:p w14:paraId="02C1D32D" w14:textId="79C8B02C" w:rsidR="004917BD" w:rsidRDefault="004917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A068B" w14:textId="7E3CEFA0" w:rsidR="00AA3591" w:rsidRDefault="00AA3591" w:rsidP="007129F2">
    <w:pPr>
      <w:pStyle w:val="Footer"/>
      <w:tabs>
        <w:tab w:val="clear" w:pos="4513"/>
        <w:tab w:val="clear" w:pos="9026"/>
        <w:tab w:val="left" w:pos="20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299343"/>
      <w:docPartObj>
        <w:docPartGallery w:val="Page Numbers (Bottom of Page)"/>
        <w:docPartUnique/>
      </w:docPartObj>
    </w:sdtPr>
    <w:sdtEndPr>
      <w:rPr>
        <w:noProof/>
      </w:rPr>
    </w:sdtEndPr>
    <w:sdtContent>
      <w:p w14:paraId="3629E169" w14:textId="5878D595" w:rsidR="00CF19AC" w:rsidRDefault="00CF19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8B397" w14:textId="77777777" w:rsidR="00CF19AC" w:rsidRDefault="00CF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DBBC" w14:textId="77777777" w:rsidR="00F25DB8" w:rsidRDefault="00F25DB8" w:rsidP="00AA3591">
      <w:pPr>
        <w:spacing w:after="0" w:line="240" w:lineRule="auto"/>
      </w:pPr>
      <w:r>
        <w:separator/>
      </w:r>
    </w:p>
  </w:footnote>
  <w:footnote w:type="continuationSeparator" w:id="0">
    <w:p w14:paraId="14A66F86" w14:textId="77777777" w:rsidR="00F25DB8" w:rsidRDefault="00F25DB8" w:rsidP="00AA3591">
      <w:pPr>
        <w:spacing w:after="0" w:line="240" w:lineRule="auto"/>
      </w:pPr>
      <w:r>
        <w:continuationSeparator/>
      </w:r>
    </w:p>
  </w:footnote>
  <w:footnote w:type="continuationNotice" w:id="1">
    <w:p w14:paraId="3B657E0A" w14:textId="77777777" w:rsidR="00F25DB8" w:rsidRDefault="00F25D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58241" behindDoc="1" locked="0" layoutInCell="1" allowOverlap="1" wp14:anchorId="7F5C8792" wp14:editId="23495F7C">
          <wp:simplePos x="0" y="0"/>
          <wp:positionH relativeFrom="margin">
            <wp:posOffset>-504825</wp:posOffset>
          </wp:positionH>
          <wp:positionV relativeFrom="margin">
            <wp:posOffset>-850265</wp:posOffset>
          </wp:positionV>
          <wp:extent cx="590550" cy="590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531B" w14:textId="13DDA3B0" w:rsidR="00A70D6D" w:rsidRDefault="007B7E31">
    <w:pPr>
      <w:pStyle w:val="Header"/>
    </w:pPr>
    <w:r>
      <w:rPr>
        <w:noProof/>
      </w:rPr>
      <w:drawing>
        <wp:anchor distT="0" distB="0" distL="114300" distR="114300" simplePos="0" relativeHeight="251658242" behindDoc="0" locked="0" layoutInCell="1" allowOverlap="1" wp14:anchorId="38DD6337" wp14:editId="40A26FC6">
          <wp:simplePos x="0" y="0"/>
          <wp:positionH relativeFrom="column">
            <wp:posOffset>-716915</wp:posOffset>
          </wp:positionH>
          <wp:positionV relativeFrom="paragraph">
            <wp:posOffset>-441960</wp:posOffset>
          </wp:positionV>
          <wp:extent cx="7628394" cy="882869"/>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24274"/>
    <w:multiLevelType w:val="hybridMultilevel"/>
    <w:tmpl w:val="C60E9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01342"/>
    <w:multiLevelType w:val="hybridMultilevel"/>
    <w:tmpl w:val="FBE64B70"/>
    <w:lvl w:ilvl="0" w:tplc="7180C9BE">
      <w:start w:val="1"/>
      <w:numFmt w:val="bullet"/>
      <w:lvlText w:val="-"/>
      <w:lvlJc w:val="left"/>
      <w:pPr>
        <w:ind w:left="720" w:hanging="360"/>
      </w:pPr>
      <w:rPr>
        <w:rFonts w:ascii="Calibri" w:eastAsiaTheme="majorEastAsia" w:hAnsi="Calibri" w:cs="Calibri" w:hint="default"/>
        <w:b/>
        <w:i/>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B57EC"/>
    <w:multiLevelType w:val="hybridMultilevel"/>
    <w:tmpl w:val="39EA14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E0492"/>
    <w:multiLevelType w:val="hybridMultilevel"/>
    <w:tmpl w:val="18E8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26290"/>
    <w:multiLevelType w:val="hybridMultilevel"/>
    <w:tmpl w:val="2B2EDB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0979B2"/>
    <w:multiLevelType w:val="hybridMultilevel"/>
    <w:tmpl w:val="CC00D71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3D7772"/>
    <w:multiLevelType w:val="hybridMultilevel"/>
    <w:tmpl w:val="5B4C0CD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945F78"/>
    <w:multiLevelType w:val="hybridMultilevel"/>
    <w:tmpl w:val="82E2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27CEF"/>
    <w:multiLevelType w:val="hybridMultilevel"/>
    <w:tmpl w:val="496C2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363E35"/>
    <w:multiLevelType w:val="hybridMultilevel"/>
    <w:tmpl w:val="8B6AE6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8F501E"/>
    <w:multiLevelType w:val="hybridMultilevel"/>
    <w:tmpl w:val="C81ED13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6980877">
    <w:abstractNumId w:val="24"/>
  </w:num>
  <w:num w:numId="2" w16cid:durableId="1803841915">
    <w:abstractNumId w:val="13"/>
  </w:num>
  <w:num w:numId="3" w16cid:durableId="768309785">
    <w:abstractNumId w:val="8"/>
  </w:num>
  <w:num w:numId="4" w16cid:durableId="1455175674">
    <w:abstractNumId w:val="5"/>
  </w:num>
  <w:num w:numId="5" w16cid:durableId="765855580">
    <w:abstractNumId w:val="14"/>
  </w:num>
  <w:num w:numId="6" w16cid:durableId="1762605859">
    <w:abstractNumId w:val="1"/>
  </w:num>
  <w:num w:numId="7" w16cid:durableId="275136321">
    <w:abstractNumId w:val="11"/>
  </w:num>
  <w:num w:numId="8" w16cid:durableId="746459278">
    <w:abstractNumId w:val="0"/>
  </w:num>
  <w:num w:numId="9" w16cid:durableId="1451120461">
    <w:abstractNumId w:val="6"/>
  </w:num>
  <w:num w:numId="10" w16cid:durableId="1441681551">
    <w:abstractNumId w:val="16"/>
  </w:num>
  <w:num w:numId="11" w16cid:durableId="729962253">
    <w:abstractNumId w:val="7"/>
  </w:num>
  <w:num w:numId="12" w16cid:durableId="191916942">
    <w:abstractNumId w:val="21"/>
  </w:num>
  <w:num w:numId="13" w16cid:durableId="1510636728">
    <w:abstractNumId w:val="20"/>
  </w:num>
  <w:num w:numId="14" w16cid:durableId="736171290">
    <w:abstractNumId w:val="23"/>
  </w:num>
  <w:num w:numId="15" w16cid:durableId="339771085">
    <w:abstractNumId w:val="2"/>
  </w:num>
  <w:num w:numId="16" w16cid:durableId="756748890">
    <w:abstractNumId w:val="17"/>
  </w:num>
  <w:num w:numId="17" w16cid:durableId="2072650805">
    <w:abstractNumId w:val="15"/>
  </w:num>
  <w:num w:numId="18" w16cid:durableId="1042054063">
    <w:abstractNumId w:val="22"/>
  </w:num>
  <w:num w:numId="19" w16cid:durableId="1422530846">
    <w:abstractNumId w:val="12"/>
  </w:num>
  <w:num w:numId="20" w16cid:durableId="498034905">
    <w:abstractNumId w:val="4"/>
  </w:num>
  <w:num w:numId="21" w16cid:durableId="1552688999">
    <w:abstractNumId w:val="19"/>
  </w:num>
  <w:num w:numId="22" w16cid:durableId="424694569">
    <w:abstractNumId w:val="10"/>
  </w:num>
  <w:num w:numId="23" w16cid:durableId="735515409">
    <w:abstractNumId w:val="18"/>
  </w:num>
  <w:num w:numId="24" w16cid:durableId="789667817">
    <w:abstractNumId w:val="3"/>
  </w:num>
  <w:num w:numId="25" w16cid:durableId="1226647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09BB"/>
    <w:rsid w:val="00000F43"/>
    <w:rsid w:val="00000FCA"/>
    <w:rsid w:val="00001603"/>
    <w:rsid w:val="00002ACB"/>
    <w:rsid w:val="00002E89"/>
    <w:rsid w:val="000031C6"/>
    <w:rsid w:val="00004656"/>
    <w:rsid w:val="0000649A"/>
    <w:rsid w:val="00007338"/>
    <w:rsid w:val="0001001C"/>
    <w:rsid w:val="00010FF9"/>
    <w:rsid w:val="0001120D"/>
    <w:rsid w:val="000128D6"/>
    <w:rsid w:val="000145AB"/>
    <w:rsid w:val="000152A1"/>
    <w:rsid w:val="00015EBA"/>
    <w:rsid w:val="00017B29"/>
    <w:rsid w:val="00023387"/>
    <w:rsid w:val="00023A71"/>
    <w:rsid w:val="0002594C"/>
    <w:rsid w:val="00030A48"/>
    <w:rsid w:val="00031AE8"/>
    <w:rsid w:val="00033DAC"/>
    <w:rsid w:val="00033EC4"/>
    <w:rsid w:val="00035032"/>
    <w:rsid w:val="000354A7"/>
    <w:rsid w:val="0003680E"/>
    <w:rsid w:val="00041854"/>
    <w:rsid w:val="000422E4"/>
    <w:rsid w:val="00042D04"/>
    <w:rsid w:val="0004364A"/>
    <w:rsid w:val="00043BD9"/>
    <w:rsid w:val="000446CA"/>
    <w:rsid w:val="000449A2"/>
    <w:rsid w:val="00044D73"/>
    <w:rsid w:val="00045BFA"/>
    <w:rsid w:val="000460DC"/>
    <w:rsid w:val="000501BD"/>
    <w:rsid w:val="00050BAD"/>
    <w:rsid w:val="00051119"/>
    <w:rsid w:val="000564B4"/>
    <w:rsid w:val="00056B8D"/>
    <w:rsid w:val="00057505"/>
    <w:rsid w:val="00060996"/>
    <w:rsid w:val="00062149"/>
    <w:rsid w:val="00062789"/>
    <w:rsid w:val="000628C6"/>
    <w:rsid w:val="00063AEA"/>
    <w:rsid w:val="00064613"/>
    <w:rsid w:val="00064B76"/>
    <w:rsid w:val="00065719"/>
    <w:rsid w:val="00066022"/>
    <w:rsid w:val="0007039F"/>
    <w:rsid w:val="000708C8"/>
    <w:rsid w:val="00070963"/>
    <w:rsid w:val="00070EFB"/>
    <w:rsid w:val="00071B91"/>
    <w:rsid w:val="00072543"/>
    <w:rsid w:val="000728F0"/>
    <w:rsid w:val="000734EA"/>
    <w:rsid w:val="00074202"/>
    <w:rsid w:val="00075810"/>
    <w:rsid w:val="00076687"/>
    <w:rsid w:val="000767C0"/>
    <w:rsid w:val="00076B20"/>
    <w:rsid w:val="00077216"/>
    <w:rsid w:val="00077FCB"/>
    <w:rsid w:val="000803BA"/>
    <w:rsid w:val="000805A2"/>
    <w:rsid w:val="000807BB"/>
    <w:rsid w:val="0008096A"/>
    <w:rsid w:val="00081388"/>
    <w:rsid w:val="00081D89"/>
    <w:rsid w:val="00081E51"/>
    <w:rsid w:val="00082240"/>
    <w:rsid w:val="00082527"/>
    <w:rsid w:val="000832D7"/>
    <w:rsid w:val="000838A1"/>
    <w:rsid w:val="00083B0B"/>
    <w:rsid w:val="000868D0"/>
    <w:rsid w:val="00087180"/>
    <w:rsid w:val="0008733D"/>
    <w:rsid w:val="00090553"/>
    <w:rsid w:val="000908B2"/>
    <w:rsid w:val="00090CA5"/>
    <w:rsid w:val="0009169A"/>
    <w:rsid w:val="0009184D"/>
    <w:rsid w:val="00092B35"/>
    <w:rsid w:val="000933EF"/>
    <w:rsid w:val="00094E9B"/>
    <w:rsid w:val="00095825"/>
    <w:rsid w:val="00095C83"/>
    <w:rsid w:val="000976D8"/>
    <w:rsid w:val="00097835"/>
    <w:rsid w:val="00097C2D"/>
    <w:rsid w:val="00097EEA"/>
    <w:rsid w:val="000A0501"/>
    <w:rsid w:val="000A33EF"/>
    <w:rsid w:val="000A36F7"/>
    <w:rsid w:val="000A4FF7"/>
    <w:rsid w:val="000A7962"/>
    <w:rsid w:val="000A7DC5"/>
    <w:rsid w:val="000B328E"/>
    <w:rsid w:val="000B39D7"/>
    <w:rsid w:val="000B48BC"/>
    <w:rsid w:val="000B5841"/>
    <w:rsid w:val="000B5B08"/>
    <w:rsid w:val="000B5FBD"/>
    <w:rsid w:val="000C065D"/>
    <w:rsid w:val="000C1C10"/>
    <w:rsid w:val="000C2B6D"/>
    <w:rsid w:val="000C36E3"/>
    <w:rsid w:val="000C526E"/>
    <w:rsid w:val="000C7D5D"/>
    <w:rsid w:val="000D2997"/>
    <w:rsid w:val="000D49F0"/>
    <w:rsid w:val="000D4D67"/>
    <w:rsid w:val="000D7459"/>
    <w:rsid w:val="000D7924"/>
    <w:rsid w:val="000E0398"/>
    <w:rsid w:val="000E6AA4"/>
    <w:rsid w:val="000F03F3"/>
    <w:rsid w:val="000F1478"/>
    <w:rsid w:val="000F18CF"/>
    <w:rsid w:val="000F2753"/>
    <w:rsid w:val="000F3A0C"/>
    <w:rsid w:val="000F4253"/>
    <w:rsid w:val="000F4309"/>
    <w:rsid w:val="000F48D2"/>
    <w:rsid w:val="000F7710"/>
    <w:rsid w:val="001002F4"/>
    <w:rsid w:val="0010036E"/>
    <w:rsid w:val="001015CD"/>
    <w:rsid w:val="00102325"/>
    <w:rsid w:val="001023B5"/>
    <w:rsid w:val="001026EA"/>
    <w:rsid w:val="001029E4"/>
    <w:rsid w:val="00103470"/>
    <w:rsid w:val="00103A8A"/>
    <w:rsid w:val="00104A78"/>
    <w:rsid w:val="00104CE2"/>
    <w:rsid w:val="00104EE4"/>
    <w:rsid w:val="00106B69"/>
    <w:rsid w:val="0011000B"/>
    <w:rsid w:val="0011065E"/>
    <w:rsid w:val="00112389"/>
    <w:rsid w:val="00112D8A"/>
    <w:rsid w:val="00113382"/>
    <w:rsid w:val="00113762"/>
    <w:rsid w:val="0011492C"/>
    <w:rsid w:val="00114AAB"/>
    <w:rsid w:val="001210EB"/>
    <w:rsid w:val="00121514"/>
    <w:rsid w:val="00123014"/>
    <w:rsid w:val="00123303"/>
    <w:rsid w:val="00124555"/>
    <w:rsid w:val="00125DC8"/>
    <w:rsid w:val="00126A5D"/>
    <w:rsid w:val="00127063"/>
    <w:rsid w:val="0013036D"/>
    <w:rsid w:val="001305F1"/>
    <w:rsid w:val="001309E4"/>
    <w:rsid w:val="00130EAF"/>
    <w:rsid w:val="00131986"/>
    <w:rsid w:val="00134D14"/>
    <w:rsid w:val="0013507A"/>
    <w:rsid w:val="00135FE2"/>
    <w:rsid w:val="0014023A"/>
    <w:rsid w:val="00141BCD"/>
    <w:rsid w:val="00141DF3"/>
    <w:rsid w:val="00142799"/>
    <w:rsid w:val="00143C72"/>
    <w:rsid w:val="00146496"/>
    <w:rsid w:val="00146534"/>
    <w:rsid w:val="00146F0B"/>
    <w:rsid w:val="00147CDA"/>
    <w:rsid w:val="001500D1"/>
    <w:rsid w:val="00151527"/>
    <w:rsid w:val="00151DE6"/>
    <w:rsid w:val="001522C2"/>
    <w:rsid w:val="001528A3"/>
    <w:rsid w:val="0015422A"/>
    <w:rsid w:val="00154925"/>
    <w:rsid w:val="001574A3"/>
    <w:rsid w:val="00157B90"/>
    <w:rsid w:val="00157ED0"/>
    <w:rsid w:val="00160274"/>
    <w:rsid w:val="00161560"/>
    <w:rsid w:val="00162656"/>
    <w:rsid w:val="00162E27"/>
    <w:rsid w:val="00165103"/>
    <w:rsid w:val="001656BD"/>
    <w:rsid w:val="001669AA"/>
    <w:rsid w:val="0016774C"/>
    <w:rsid w:val="001701E3"/>
    <w:rsid w:val="00170713"/>
    <w:rsid w:val="001713B2"/>
    <w:rsid w:val="00172558"/>
    <w:rsid w:val="00173D53"/>
    <w:rsid w:val="00173F98"/>
    <w:rsid w:val="00174178"/>
    <w:rsid w:val="001750DA"/>
    <w:rsid w:val="001765FA"/>
    <w:rsid w:val="00176D85"/>
    <w:rsid w:val="001811B4"/>
    <w:rsid w:val="00182878"/>
    <w:rsid w:val="00182D9A"/>
    <w:rsid w:val="00183E24"/>
    <w:rsid w:val="00184273"/>
    <w:rsid w:val="00184706"/>
    <w:rsid w:val="00185DB6"/>
    <w:rsid w:val="00187084"/>
    <w:rsid w:val="00187110"/>
    <w:rsid w:val="00192BD0"/>
    <w:rsid w:val="00193752"/>
    <w:rsid w:val="001953BC"/>
    <w:rsid w:val="001953FA"/>
    <w:rsid w:val="0019575C"/>
    <w:rsid w:val="00196E4D"/>
    <w:rsid w:val="001A083B"/>
    <w:rsid w:val="001A178D"/>
    <w:rsid w:val="001A338D"/>
    <w:rsid w:val="001A358B"/>
    <w:rsid w:val="001A41FA"/>
    <w:rsid w:val="001A4928"/>
    <w:rsid w:val="001A5B85"/>
    <w:rsid w:val="001A6591"/>
    <w:rsid w:val="001A6634"/>
    <w:rsid w:val="001B04A8"/>
    <w:rsid w:val="001B0A18"/>
    <w:rsid w:val="001B3344"/>
    <w:rsid w:val="001B3741"/>
    <w:rsid w:val="001B3DBE"/>
    <w:rsid w:val="001B460D"/>
    <w:rsid w:val="001B60AA"/>
    <w:rsid w:val="001B76E6"/>
    <w:rsid w:val="001B7B4A"/>
    <w:rsid w:val="001C07C0"/>
    <w:rsid w:val="001C0CA9"/>
    <w:rsid w:val="001C0D6A"/>
    <w:rsid w:val="001C1770"/>
    <w:rsid w:val="001C4B20"/>
    <w:rsid w:val="001C708C"/>
    <w:rsid w:val="001C7490"/>
    <w:rsid w:val="001D26A4"/>
    <w:rsid w:val="001D29D8"/>
    <w:rsid w:val="001D4622"/>
    <w:rsid w:val="001D4917"/>
    <w:rsid w:val="001D5971"/>
    <w:rsid w:val="001D5E78"/>
    <w:rsid w:val="001D7DFF"/>
    <w:rsid w:val="001E0739"/>
    <w:rsid w:val="001E0F31"/>
    <w:rsid w:val="001E24C1"/>
    <w:rsid w:val="001E4A6E"/>
    <w:rsid w:val="001E4B73"/>
    <w:rsid w:val="001E4F28"/>
    <w:rsid w:val="001E52D4"/>
    <w:rsid w:val="001E5650"/>
    <w:rsid w:val="001E5CE1"/>
    <w:rsid w:val="001E6253"/>
    <w:rsid w:val="001F2C45"/>
    <w:rsid w:val="001F3763"/>
    <w:rsid w:val="001F4EAC"/>
    <w:rsid w:val="001F6558"/>
    <w:rsid w:val="001F6A83"/>
    <w:rsid w:val="001F6C88"/>
    <w:rsid w:val="002009D1"/>
    <w:rsid w:val="00202FE9"/>
    <w:rsid w:val="00203424"/>
    <w:rsid w:val="0020352B"/>
    <w:rsid w:val="002054A8"/>
    <w:rsid w:val="0021048A"/>
    <w:rsid w:val="00211187"/>
    <w:rsid w:val="00212167"/>
    <w:rsid w:val="00212635"/>
    <w:rsid w:val="00212F51"/>
    <w:rsid w:val="00213940"/>
    <w:rsid w:val="00216115"/>
    <w:rsid w:val="002168B5"/>
    <w:rsid w:val="002171F9"/>
    <w:rsid w:val="00217DE1"/>
    <w:rsid w:val="00220683"/>
    <w:rsid w:val="00220DD4"/>
    <w:rsid w:val="00225713"/>
    <w:rsid w:val="002317F2"/>
    <w:rsid w:val="00232BD9"/>
    <w:rsid w:val="002349F7"/>
    <w:rsid w:val="00234D0C"/>
    <w:rsid w:val="00234E8C"/>
    <w:rsid w:val="00235131"/>
    <w:rsid w:val="002406BD"/>
    <w:rsid w:val="00240CF8"/>
    <w:rsid w:val="00241D25"/>
    <w:rsid w:val="00243DAB"/>
    <w:rsid w:val="00246BF6"/>
    <w:rsid w:val="00247752"/>
    <w:rsid w:val="0025183F"/>
    <w:rsid w:val="00252115"/>
    <w:rsid w:val="00252136"/>
    <w:rsid w:val="002537A4"/>
    <w:rsid w:val="002557A0"/>
    <w:rsid w:val="00255E7D"/>
    <w:rsid w:val="00257A80"/>
    <w:rsid w:val="00260095"/>
    <w:rsid w:val="002601E1"/>
    <w:rsid w:val="0026144E"/>
    <w:rsid w:val="00261886"/>
    <w:rsid w:val="0026325C"/>
    <w:rsid w:val="00264B76"/>
    <w:rsid w:val="00264C79"/>
    <w:rsid w:val="00265589"/>
    <w:rsid w:val="002661B9"/>
    <w:rsid w:val="00266412"/>
    <w:rsid w:val="002669F5"/>
    <w:rsid w:val="00270814"/>
    <w:rsid w:val="0027483F"/>
    <w:rsid w:val="0027592A"/>
    <w:rsid w:val="00277C91"/>
    <w:rsid w:val="00277D1F"/>
    <w:rsid w:val="00280050"/>
    <w:rsid w:val="00280A83"/>
    <w:rsid w:val="00280E35"/>
    <w:rsid w:val="00281513"/>
    <w:rsid w:val="00281A0E"/>
    <w:rsid w:val="0028211D"/>
    <w:rsid w:val="002860A8"/>
    <w:rsid w:val="00287015"/>
    <w:rsid w:val="00287816"/>
    <w:rsid w:val="00292599"/>
    <w:rsid w:val="0029279D"/>
    <w:rsid w:val="002929D7"/>
    <w:rsid w:val="002939F9"/>
    <w:rsid w:val="00293A12"/>
    <w:rsid w:val="00295E8C"/>
    <w:rsid w:val="00296981"/>
    <w:rsid w:val="002975DF"/>
    <w:rsid w:val="002A16B8"/>
    <w:rsid w:val="002A4831"/>
    <w:rsid w:val="002A527E"/>
    <w:rsid w:val="002B0824"/>
    <w:rsid w:val="002B5BB4"/>
    <w:rsid w:val="002B5F2F"/>
    <w:rsid w:val="002B79ED"/>
    <w:rsid w:val="002C0989"/>
    <w:rsid w:val="002C0F42"/>
    <w:rsid w:val="002C283F"/>
    <w:rsid w:val="002C2B75"/>
    <w:rsid w:val="002C3155"/>
    <w:rsid w:val="002C3216"/>
    <w:rsid w:val="002C651B"/>
    <w:rsid w:val="002D0143"/>
    <w:rsid w:val="002D0EFE"/>
    <w:rsid w:val="002D1E23"/>
    <w:rsid w:val="002D3136"/>
    <w:rsid w:val="002D52A4"/>
    <w:rsid w:val="002D52D8"/>
    <w:rsid w:val="002D5CE8"/>
    <w:rsid w:val="002D67E9"/>
    <w:rsid w:val="002D6C68"/>
    <w:rsid w:val="002D705C"/>
    <w:rsid w:val="002D7D0E"/>
    <w:rsid w:val="002D7F14"/>
    <w:rsid w:val="002E0ECB"/>
    <w:rsid w:val="002E1347"/>
    <w:rsid w:val="002E4F5C"/>
    <w:rsid w:val="002E5C75"/>
    <w:rsid w:val="002E658C"/>
    <w:rsid w:val="002F1825"/>
    <w:rsid w:val="002F1ECB"/>
    <w:rsid w:val="002F46BD"/>
    <w:rsid w:val="002F4822"/>
    <w:rsid w:val="002F62A1"/>
    <w:rsid w:val="003001A6"/>
    <w:rsid w:val="0030055F"/>
    <w:rsid w:val="0030059A"/>
    <w:rsid w:val="0030320C"/>
    <w:rsid w:val="003035EA"/>
    <w:rsid w:val="00305B75"/>
    <w:rsid w:val="0030636F"/>
    <w:rsid w:val="00307977"/>
    <w:rsid w:val="003111D9"/>
    <w:rsid w:val="00311E4A"/>
    <w:rsid w:val="003129A3"/>
    <w:rsid w:val="00313303"/>
    <w:rsid w:val="0031363D"/>
    <w:rsid w:val="003151A0"/>
    <w:rsid w:val="00315A3D"/>
    <w:rsid w:val="00323FE9"/>
    <w:rsid w:val="003249D0"/>
    <w:rsid w:val="00324A0B"/>
    <w:rsid w:val="00324DD0"/>
    <w:rsid w:val="00327BC9"/>
    <w:rsid w:val="00331703"/>
    <w:rsid w:val="00331D7B"/>
    <w:rsid w:val="00332A17"/>
    <w:rsid w:val="003332CB"/>
    <w:rsid w:val="00333797"/>
    <w:rsid w:val="003339F6"/>
    <w:rsid w:val="00333D53"/>
    <w:rsid w:val="00334886"/>
    <w:rsid w:val="0033566A"/>
    <w:rsid w:val="003368F9"/>
    <w:rsid w:val="0033779D"/>
    <w:rsid w:val="0034040E"/>
    <w:rsid w:val="0034089D"/>
    <w:rsid w:val="00340CF2"/>
    <w:rsid w:val="0034109A"/>
    <w:rsid w:val="003412B6"/>
    <w:rsid w:val="00342475"/>
    <w:rsid w:val="00344505"/>
    <w:rsid w:val="00344F9D"/>
    <w:rsid w:val="003452E7"/>
    <w:rsid w:val="0034533E"/>
    <w:rsid w:val="003454E7"/>
    <w:rsid w:val="00346B31"/>
    <w:rsid w:val="00347877"/>
    <w:rsid w:val="003505E1"/>
    <w:rsid w:val="00350739"/>
    <w:rsid w:val="00352F50"/>
    <w:rsid w:val="003535A4"/>
    <w:rsid w:val="0035528B"/>
    <w:rsid w:val="00355574"/>
    <w:rsid w:val="00356C50"/>
    <w:rsid w:val="00356C8D"/>
    <w:rsid w:val="00357EC4"/>
    <w:rsid w:val="00360A44"/>
    <w:rsid w:val="00360DE1"/>
    <w:rsid w:val="00361EC5"/>
    <w:rsid w:val="00362CE4"/>
    <w:rsid w:val="00364667"/>
    <w:rsid w:val="00364CE9"/>
    <w:rsid w:val="0036675F"/>
    <w:rsid w:val="00371171"/>
    <w:rsid w:val="0037131F"/>
    <w:rsid w:val="00371C77"/>
    <w:rsid w:val="00371E39"/>
    <w:rsid w:val="00373DC0"/>
    <w:rsid w:val="003747B4"/>
    <w:rsid w:val="003760F4"/>
    <w:rsid w:val="00380A0F"/>
    <w:rsid w:val="0038116C"/>
    <w:rsid w:val="0038184C"/>
    <w:rsid w:val="003831D1"/>
    <w:rsid w:val="003845CD"/>
    <w:rsid w:val="00384B47"/>
    <w:rsid w:val="003852DE"/>
    <w:rsid w:val="00387D62"/>
    <w:rsid w:val="0039026A"/>
    <w:rsid w:val="00390571"/>
    <w:rsid w:val="00391B86"/>
    <w:rsid w:val="003933F8"/>
    <w:rsid w:val="00394DAE"/>
    <w:rsid w:val="00395417"/>
    <w:rsid w:val="00395869"/>
    <w:rsid w:val="00395ECB"/>
    <w:rsid w:val="003966E8"/>
    <w:rsid w:val="00397CE4"/>
    <w:rsid w:val="003A1743"/>
    <w:rsid w:val="003A1E77"/>
    <w:rsid w:val="003A3592"/>
    <w:rsid w:val="003A4C73"/>
    <w:rsid w:val="003A5AD6"/>
    <w:rsid w:val="003A6C76"/>
    <w:rsid w:val="003A7C33"/>
    <w:rsid w:val="003B2CB2"/>
    <w:rsid w:val="003B30F0"/>
    <w:rsid w:val="003B3CAB"/>
    <w:rsid w:val="003B45DD"/>
    <w:rsid w:val="003B4A6B"/>
    <w:rsid w:val="003B4E9D"/>
    <w:rsid w:val="003B5CC0"/>
    <w:rsid w:val="003B5F90"/>
    <w:rsid w:val="003B616A"/>
    <w:rsid w:val="003B6A63"/>
    <w:rsid w:val="003B7293"/>
    <w:rsid w:val="003C0D27"/>
    <w:rsid w:val="003C1B47"/>
    <w:rsid w:val="003C1BC8"/>
    <w:rsid w:val="003C2924"/>
    <w:rsid w:val="003C2D7D"/>
    <w:rsid w:val="003C2DBC"/>
    <w:rsid w:val="003C463C"/>
    <w:rsid w:val="003C5494"/>
    <w:rsid w:val="003C5840"/>
    <w:rsid w:val="003C5A8B"/>
    <w:rsid w:val="003C61DD"/>
    <w:rsid w:val="003C6608"/>
    <w:rsid w:val="003C6828"/>
    <w:rsid w:val="003D0FD2"/>
    <w:rsid w:val="003D13CF"/>
    <w:rsid w:val="003D279E"/>
    <w:rsid w:val="003D295C"/>
    <w:rsid w:val="003D39C6"/>
    <w:rsid w:val="003D5DDD"/>
    <w:rsid w:val="003D5F8A"/>
    <w:rsid w:val="003D7429"/>
    <w:rsid w:val="003E0F5E"/>
    <w:rsid w:val="003E6404"/>
    <w:rsid w:val="003F03C6"/>
    <w:rsid w:val="003F13CF"/>
    <w:rsid w:val="003F140C"/>
    <w:rsid w:val="003F168A"/>
    <w:rsid w:val="003F3CF7"/>
    <w:rsid w:val="003F4F6F"/>
    <w:rsid w:val="003F5609"/>
    <w:rsid w:val="003F71EE"/>
    <w:rsid w:val="003F7C79"/>
    <w:rsid w:val="00400C9C"/>
    <w:rsid w:val="004031F6"/>
    <w:rsid w:val="0040331F"/>
    <w:rsid w:val="00403C8B"/>
    <w:rsid w:val="0040596D"/>
    <w:rsid w:val="00406D82"/>
    <w:rsid w:val="00407369"/>
    <w:rsid w:val="00410B89"/>
    <w:rsid w:val="00410F3C"/>
    <w:rsid w:val="00412175"/>
    <w:rsid w:val="004126C2"/>
    <w:rsid w:val="004129F0"/>
    <w:rsid w:val="00412CA6"/>
    <w:rsid w:val="00412E56"/>
    <w:rsid w:val="00413BED"/>
    <w:rsid w:val="00413F51"/>
    <w:rsid w:val="00414866"/>
    <w:rsid w:val="0041526F"/>
    <w:rsid w:val="00415390"/>
    <w:rsid w:val="00415DAB"/>
    <w:rsid w:val="00415DD1"/>
    <w:rsid w:val="0041634B"/>
    <w:rsid w:val="004178A9"/>
    <w:rsid w:val="00417B94"/>
    <w:rsid w:val="00417ED8"/>
    <w:rsid w:val="004205B5"/>
    <w:rsid w:val="00420D9E"/>
    <w:rsid w:val="004244C1"/>
    <w:rsid w:val="00425107"/>
    <w:rsid w:val="004251F8"/>
    <w:rsid w:val="00427034"/>
    <w:rsid w:val="0042765B"/>
    <w:rsid w:val="00427A40"/>
    <w:rsid w:val="00431833"/>
    <w:rsid w:val="00431B47"/>
    <w:rsid w:val="00432001"/>
    <w:rsid w:val="00432B5C"/>
    <w:rsid w:val="0043440B"/>
    <w:rsid w:val="0043471B"/>
    <w:rsid w:val="00436472"/>
    <w:rsid w:val="004370D7"/>
    <w:rsid w:val="00440C48"/>
    <w:rsid w:val="00443741"/>
    <w:rsid w:val="00443FF9"/>
    <w:rsid w:val="004456C1"/>
    <w:rsid w:val="004459F8"/>
    <w:rsid w:val="004460B2"/>
    <w:rsid w:val="00446366"/>
    <w:rsid w:val="0045083C"/>
    <w:rsid w:val="0045163A"/>
    <w:rsid w:val="004524C8"/>
    <w:rsid w:val="0045341B"/>
    <w:rsid w:val="00453F3C"/>
    <w:rsid w:val="004545D3"/>
    <w:rsid w:val="00456D47"/>
    <w:rsid w:val="00457A64"/>
    <w:rsid w:val="004602A3"/>
    <w:rsid w:val="004604CC"/>
    <w:rsid w:val="004613A8"/>
    <w:rsid w:val="004644B9"/>
    <w:rsid w:val="00470016"/>
    <w:rsid w:val="004701BD"/>
    <w:rsid w:val="00470607"/>
    <w:rsid w:val="004707A4"/>
    <w:rsid w:val="0047204E"/>
    <w:rsid w:val="00474404"/>
    <w:rsid w:val="0047649F"/>
    <w:rsid w:val="004765E2"/>
    <w:rsid w:val="00476BDB"/>
    <w:rsid w:val="0048130F"/>
    <w:rsid w:val="0048222E"/>
    <w:rsid w:val="00483897"/>
    <w:rsid w:val="00483B84"/>
    <w:rsid w:val="004849D1"/>
    <w:rsid w:val="00484D34"/>
    <w:rsid w:val="00485136"/>
    <w:rsid w:val="00485183"/>
    <w:rsid w:val="0048548E"/>
    <w:rsid w:val="00485737"/>
    <w:rsid w:val="00490317"/>
    <w:rsid w:val="004917BD"/>
    <w:rsid w:val="00493516"/>
    <w:rsid w:val="0049476C"/>
    <w:rsid w:val="0049486B"/>
    <w:rsid w:val="00494F3D"/>
    <w:rsid w:val="004957EF"/>
    <w:rsid w:val="0049613D"/>
    <w:rsid w:val="0049765B"/>
    <w:rsid w:val="004A118E"/>
    <w:rsid w:val="004A3626"/>
    <w:rsid w:val="004A55C5"/>
    <w:rsid w:val="004A5E4A"/>
    <w:rsid w:val="004A730C"/>
    <w:rsid w:val="004A771A"/>
    <w:rsid w:val="004A7758"/>
    <w:rsid w:val="004B5007"/>
    <w:rsid w:val="004B76D5"/>
    <w:rsid w:val="004C07E5"/>
    <w:rsid w:val="004C112A"/>
    <w:rsid w:val="004C1EDB"/>
    <w:rsid w:val="004C282E"/>
    <w:rsid w:val="004C6391"/>
    <w:rsid w:val="004C71BD"/>
    <w:rsid w:val="004C77F3"/>
    <w:rsid w:val="004D2866"/>
    <w:rsid w:val="004D4D6A"/>
    <w:rsid w:val="004D6172"/>
    <w:rsid w:val="004D673F"/>
    <w:rsid w:val="004D6AC7"/>
    <w:rsid w:val="004E0044"/>
    <w:rsid w:val="004E02F8"/>
    <w:rsid w:val="004E03EB"/>
    <w:rsid w:val="004E0FCA"/>
    <w:rsid w:val="004E2515"/>
    <w:rsid w:val="004E2EC3"/>
    <w:rsid w:val="004E49E1"/>
    <w:rsid w:val="004E508A"/>
    <w:rsid w:val="004E664C"/>
    <w:rsid w:val="004E7B45"/>
    <w:rsid w:val="004F0DC6"/>
    <w:rsid w:val="004F1258"/>
    <w:rsid w:val="004F22AC"/>
    <w:rsid w:val="004F4A78"/>
    <w:rsid w:val="004F4BD1"/>
    <w:rsid w:val="004F4BE8"/>
    <w:rsid w:val="004F4CBA"/>
    <w:rsid w:val="004F4F58"/>
    <w:rsid w:val="004F5278"/>
    <w:rsid w:val="004F6DEE"/>
    <w:rsid w:val="005007C7"/>
    <w:rsid w:val="00502C05"/>
    <w:rsid w:val="0050352E"/>
    <w:rsid w:val="00504696"/>
    <w:rsid w:val="00505606"/>
    <w:rsid w:val="00505E20"/>
    <w:rsid w:val="00505F17"/>
    <w:rsid w:val="00506024"/>
    <w:rsid w:val="00510D3A"/>
    <w:rsid w:val="005119DA"/>
    <w:rsid w:val="00511DF8"/>
    <w:rsid w:val="00513782"/>
    <w:rsid w:val="0051631C"/>
    <w:rsid w:val="00520F7C"/>
    <w:rsid w:val="00521DE9"/>
    <w:rsid w:val="005223FF"/>
    <w:rsid w:val="00522937"/>
    <w:rsid w:val="005233B5"/>
    <w:rsid w:val="00523D1D"/>
    <w:rsid w:val="00526376"/>
    <w:rsid w:val="00526892"/>
    <w:rsid w:val="00526CCD"/>
    <w:rsid w:val="00527D36"/>
    <w:rsid w:val="00527F4D"/>
    <w:rsid w:val="00531B50"/>
    <w:rsid w:val="00533F86"/>
    <w:rsid w:val="00534F4B"/>
    <w:rsid w:val="00535186"/>
    <w:rsid w:val="005366C0"/>
    <w:rsid w:val="00536B44"/>
    <w:rsid w:val="00536CCD"/>
    <w:rsid w:val="00540A55"/>
    <w:rsid w:val="00541047"/>
    <w:rsid w:val="0054117E"/>
    <w:rsid w:val="00541E76"/>
    <w:rsid w:val="00541F84"/>
    <w:rsid w:val="00545ACB"/>
    <w:rsid w:val="00546679"/>
    <w:rsid w:val="0054742B"/>
    <w:rsid w:val="00547B5A"/>
    <w:rsid w:val="00550EB3"/>
    <w:rsid w:val="00551179"/>
    <w:rsid w:val="005529F2"/>
    <w:rsid w:val="00552C07"/>
    <w:rsid w:val="00554E84"/>
    <w:rsid w:val="005565B0"/>
    <w:rsid w:val="00556ABD"/>
    <w:rsid w:val="00560465"/>
    <w:rsid w:val="0056085B"/>
    <w:rsid w:val="00560E30"/>
    <w:rsid w:val="0056403A"/>
    <w:rsid w:val="00564354"/>
    <w:rsid w:val="005646C7"/>
    <w:rsid w:val="00564C17"/>
    <w:rsid w:val="00567BD0"/>
    <w:rsid w:val="005704B3"/>
    <w:rsid w:val="00570A17"/>
    <w:rsid w:val="00571062"/>
    <w:rsid w:val="0057187A"/>
    <w:rsid w:val="00573869"/>
    <w:rsid w:val="00575CEB"/>
    <w:rsid w:val="00580402"/>
    <w:rsid w:val="0058100F"/>
    <w:rsid w:val="0058132E"/>
    <w:rsid w:val="00582D01"/>
    <w:rsid w:val="0058343C"/>
    <w:rsid w:val="00584581"/>
    <w:rsid w:val="00586C55"/>
    <w:rsid w:val="00587D89"/>
    <w:rsid w:val="0059127F"/>
    <w:rsid w:val="005914CF"/>
    <w:rsid w:val="005918E8"/>
    <w:rsid w:val="00593D76"/>
    <w:rsid w:val="0059409E"/>
    <w:rsid w:val="00594686"/>
    <w:rsid w:val="00596127"/>
    <w:rsid w:val="00596869"/>
    <w:rsid w:val="005970AF"/>
    <w:rsid w:val="005970DF"/>
    <w:rsid w:val="00597415"/>
    <w:rsid w:val="00597CED"/>
    <w:rsid w:val="005A01FA"/>
    <w:rsid w:val="005A03D8"/>
    <w:rsid w:val="005A041B"/>
    <w:rsid w:val="005A2CE7"/>
    <w:rsid w:val="005A393D"/>
    <w:rsid w:val="005A430A"/>
    <w:rsid w:val="005A555C"/>
    <w:rsid w:val="005A57C4"/>
    <w:rsid w:val="005A5F32"/>
    <w:rsid w:val="005A6739"/>
    <w:rsid w:val="005A7E11"/>
    <w:rsid w:val="005B04D6"/>
    <w:rsid w:val="005B1F25"/>
    <w:rsid w:val="005B35B9"/>
    <w:rsid w:val="005B4364"/>
    <w:rsid w:val="005B5BC4"/>
    <w:rsid w:val="005B5D77"/>
    <w:rsid w:val="005B64A3"/>
    <w:rsid w:val="005B698C"/>
    <w:rsid w:val="005B7CDC"/>
    <w:rsid w:val="005C2149"/>
    <w:rsid w:val="005C4402"/>
    <w:rsid w:val="005C59F8"/>
    <w:rsid w:val="005C5FE4"/>
    <w:rsid w:val="005C692C"/>
    <w:rsid w:val="005C7C83"/>
    <w:rsid w:val="005C7E41"/>
    <w:rsid w:val="005D0081"/>
    <w:rsid w:val="005D0313"/>
    <w:rsid w:val="005D0920"/>
    <w:rsid w:val="005D1ADB"/>
    <w:rsid w:val="005D1C6F"/>
    <w:rsid w:val="005D23BF"/>
    <w:rsid w:val="005D3555"/>
    <w:rsid w:val="005D542D"/>
    <w:rsid w:val="005D6F19"/>
    <w:rsid w:val="005D7CB4"/>
    <w:rsid w:val="005E0C76"/>
    <w:rsid w:val="005E1778"/>
    <w:rsid w:val="005E1981"/>
    <w:rsid w:val="005E1B6E"/>
    <w:rsid w:val="005E1F1B"/>
    <w:rsid w:val="005E29CE"/>
    <w:rsid w:val="005E4890"/>
    <w:rsid w:val="005E5554"/>
    <w:rsid w:val="005E5DE7"/>
    <w:rsid w:val="005E72FD"/>
    <w:rsid w:val="005F1BC4"/>
    <w:rsid w:val="005F1F23"/>
    <w:rsid w:val="005F2DD3"/>
    <w:rsid w:val="005F4647"/>
    <w:rsid w:val="005F46EB"/>
    <w:rsid w:val="005F4DA6"/>
    <w:rsid w:val="005F55C8"/>
    <w:rsid w:val="005F5F12"/>
    <w:rsid w:val="005F66FF"/>
    <w:rsid w:val="005F6CDF"/>
    <w:rsid w:val="006003F7"/>
    <w:rsid w:val="00600862"/>
    <w:rsid w:val="00600D7E"/>
    <w:rsid w:val="00600F93"/>
    <w:rsid w:val="0060110F"/>
    <w:rsid w:val="006014C3"/>
    <w:rsid w:val="00604E66"/>
    <w:rsid w:val="00605354"/>
    <w:rsid w:val="00606AFC"/>
    <w:rsid w:val="0061023F"/>
    <w:rsid w:val="006102DB"/>
    <w:rsid w:val="00611C95"/>
    <w:rsid w:val="0061311A"/>
    <w:rsid w:val="006138C7"/>
    <w:rsid w:val="0061559B"/>
    <w:rsid w:val="006164F4"/>
    <w:rsid w:val="00616AC3"/>
    <w:rsid w:val="00616F2E"/>
    <w:rsid w:val="00617185"/>
    <w:rsid w:val="006173D9"/>
    <w:rsid w:val="006175C9"/>
    <w:rsid w:val="00622261"/>
    <w:rsid w:val="006223D1"/>
    <w:rsid w:val="00622A9D"/>
    <w:rsid w:val="00622D18"/>
    <w:rsid w:val="0062412F"/>
    <w:rsid w:val="00624241"/>
    <w:rsid w:val="006249CA"/>
    <w:rsid w:val="00626175"/>
    <w:rsid w:val="006262E0"/>
    <w:rsid w:val="0062730A"/>
    <w:rsid w:val="006277C4"/>
    <w:rsid w:val="00630ABE"/>
    <w:rsid w:val="00630CE0"/>
    <w:rsid w:val="00631BD8"/>
    <w:rsid w:val="00631F66"/>
    <w:rsid w:val="00633AFC"/>
    <w:rsid w:val="006343EC"/>
    <w:rsid w:val="00634C94"/>
    <w:rsid w:val="00635D6B"/>
    <w:rsid w:val="00636AB1"/>
    <w:rsid w:val="00637036"/>
    <w:rsid w:val="006407F3"/>
    <w:rsid w:val="00643A86"/>
    <w:rsid w:val="006447E6"/>
    <w:rsid w:val="00644CE3"/>
    <w:rsid w:val="00644E34"/>
    <w:rsid w:val="00645F86"/>
    <w:rsid w:val="00646403"/>
    <w:rsid w:val="00650841"/>
    <w:rsid w:val="00650FF8"/>
    <w:rsid w:val="00651364"/>
    <w:rsid w:val="0065269A"/>
    <w:rsid w:val="00652B5C"/>
    <w:rsid w:val="00653C6C"/>
    <w:rsid w:val="00655548"/>
    <w:rsid w:val="006562CF"/>
    <w:rsid w:val="006605E0"/>
    <w:rsid w:val="00660FB7"/>
    <w:rsid w:val="00661496"/>
    <w:rsid w:val="006654A7"/>
    <w:rsid w:val="00665C7D"/>
    <w:rsid w:val="006660D5"/>
    <w:rsid w:val="006662FB"/>
    <w:rsid w:val="00667192"/>
    <w:rsid w:val="00670405"/>
    <w:rsid w:val="00670A64"/>
    <w:rsid w:val="00671079"/>
    <w:rsid w:val="00671779"/>
    <w:rsid w:val="00672517"/>
    <w:rsid w:val="00672AB0"/>
    <w:rsid w:val="00673A1F"/>
    <w:rsid w:val="00674D19"/>
    <w:rsid w:val="00675DA6"/>
    <w:rsid w:val="00676400"/>
    <w:rsid w:val="00676ECE"/>
    <w:rsid w:val="006774E3"/>
    <w:rsid w:val="006800CD"/>
    <w:rsid w:val="00680689"/>
    <w:rsid w:val="006815F5"/>
    <w:rsid w:val="00681823"/>
    <w:rsid w:val="00682824"/>
    <w:rsid w:val="0068297B"/>
    <w:rsid w:val="006832B5"/>
    <w:rsid w:val="0068482E"/>
    <w:rsid w:val="00684D97"/>
    <w:rsid w:val="0068689A"/>
    <w:rsid w:val="00687ACE"/>
    <w:rsid w:val="00691470"/>
    <w:rsid w:val="00692729"/>
    <w:rsid w:val="006956E7"/>
    <w:rsid w:val="00695D52"/>
    <w:rsid w:val="00697A6E"/>
    <w:rsid w:val="006A04E0"/>
    <w:rsid w:val="006A2935"/>
    <w:rsid w:val="006A2A10"/>
    <w:rsid w:val="006A3145"/>
    <w:rsid w:val="006A4431"/>
    <w:rsid w:val="006B06DC"/>
    <w:rsid w:val="006B0D16"/>
    <w:rsid w:val="006B41AC"/>
    <w:rsid w:val="006B4D23"/>
    <w:rsid w:val="006B5C8F"/>
    <w:rsid w:val="006C0457"/>
    <w:rsid w:val="006C0BED"/>
    <w:rsid w:val="006C0F0A"/>
    <w:rsid w:val="006C4267"/>
    <w:rsid w:val="006C63B6"/>
    <w:rsid w:val="006D1112"/>
    <w:rsid w:val="006D116F"/>
    <w:rsid w:val="006D1677"/>
    <w:rsid w:val="006D2BAD"/>
    <w:rsid w:val="006D39E2"/>
    <w:rsid w:val="006D3C69"/>
    <w:rsid w:val="006D5415"/>
    <w:rsid w:val="006D621B"/>
    <w:rsid w:val="006D77E5"/>
    <w:rsid w:val="006E15F8"/>
    <w:rsid w:val="006E2D11"/>
    <w:rsid w:val="006E2DAE"/>
    <w:rsid w:val="006E43B6"/>
    <w:rsid w:val="006E4F60"/>
    <w:rsid w:val="006E5647"/>
    <w:rsid w:val="006E66E0"/>
    <w:rsid w:val="006E7D20"/>
    <w:rsid w:val="006F0A5E"/>
    <w:rsid w:val="006F2813"/>
    <w:rsid w:val="006F31A8"/>
    <w:rsid w:val="006F4ADB"/>
    <w:rsid w:val="006F54D4"/>
    <w:rsid w:val="006F632E"/>
    <w:rsid w:val="006F65CC"/>
    <w:rsid w:val="006F7FF4"/>
    <w:rsid w:val="007004EC"/>
    <w:rsid w:val="00702294"/>
    <w:rsid w:val="00703A93"/>
    <w:rsid w:val="00704D71"/>
    <w:rsid w:val="00705C4D"/>
    <w:rsid w:val="00705DBC"/>
    <w:rsid w:val="00707696"/>
    <w:rsid w:val="00707E48"/>
    <w:rsid w:val="007129F2"/>
    <w:rsid w:val="00715A6D"/>
    <w:rsid w:val="007208F7"/>
    <w:rsid w:val="007226F6"/>
    <w:rsid w:val="007228A2"/>
    <w:rsid w:val="00722D76"/>
    <w:rsid w:val="00722F0F"/>
    <w:rsid w:val="007257CA"/>
    <w:rsid w:val="00730A2A"/>
    <w:rsid w:val="00731331"/>
    <w:rsid w:val="0073230E"/>
    <w:rsid w:val="00732508"/>
    <w:rsid w:val="007338EA"/>
    <w:rsid w:val="00733A5C"/>
    <w:rsid w:val="00733B0A"/>
    <w:rsid w:val="00734E46"/>
    <w:rsid w:val="00735CA3"/>
    <w:rsid w:val="00741377"/>
    <w:rsid w:val="0074145F"/>
    <w:rsid w:val="007445E9"/>
    <w:rsid w:val="00744DC0"/>
    <w:rsid w:val="00745826"/>
    <w:rsid w:val="00745CEB"/>
    <w:rsid w:val="0074690A"/>
    <w:rsid w:val="007469B5"/>
    <w:rsid w:val="0075117A"/>
    <w:rsid w:val="00752067"/>
    <w:rsid w:val="00753D68"/>
    <w:rsid w:val="00755009"/>
    <w:rsid w:val="0076010E"/>
    <w:rsid w:val="007603F9"/>
    <w:rsid w:val="00761999"/>
    <w:rsid w:val="00761D1B"/>
    <w:rsid w:val="00762BAB"/>
    <w:rsid w:val="0076353B"/>
    <w:rsid w:val="00766511"/>
    <w:rsid w:val="00766955"/>
    <w:rsid w:val="00766F40"/>
    <w:rsid w:val="00770964"/>
    <w:rsid w:val="007714C1"/>
    <w:rsid w:val="00772199"/>
    <w:rsid w:val="00773797"/>
    <w:rsid w:val="007753D5"/>
    <w:rsid w:val="00775A99"/>
    <w:rsid w:val="00777B27"/>
    <w:rsid w:val="00783731"/>
    <w:rsid w:val="00783C13"/>
    <w:rsid w:val="00784E9F"/>
    <w:rsid w:val="00786EA5"/>
    <w:rsid w:val="007872D8"/>
    <w:rsid w:val="0078767B"/>
    <w:rsid w:val="00790DEA"/>
    <w:rsid w:val="007912F8"/>
    <w:rsid w:val="0079162E"/>
    <w:rsid w:val="00791F99"/>
    <w:rsid w:val="00792F4B"/>
    <w:rsid w:val="0079568C"/>
    <w:rsid w:val="00795B1C"/>
    <w:rsid w:val="00797F7E"/>
    <w:rsid w:val="007A0039"/>
    <w:rsid w:val="007A0BD3"/>
    <w:rsid w:val="007A307A"/>
    <w:rsid w:val="007A5481"/>
    <w:rsid w:val="007A5F47"/>
    <w:rsid w:val="007B0B4E"/>
    <w:rsid w:val="007B15C0"/>
    <w:rsid w:val="007B400B"/>
    <w:rsid w:val="007B50BD"/>
    <w:rsid w:val="007B5E7F"/>
    <w:rsid w:val="007B7ABA"/>
    <w:rsid w:val="007B7E31"/>
    <w:rsid w:val="007C09A3"/>
    <w:rsid w:val="007C1E63"/>
    <w:rsid w:val="007C234D"/>
    <w:rsid w:val="007C60FB"/>
    <w:rsid w:val="007C6E24"/>
    <w:rsid w:val="007D135D"/>
    <w:rsid w:val="007D3191"/>
    <w:rsid w:val="007D36D6"/>
    <w:rsid w:val="007D4E2D"/>
    <w:rsid w:val="007D513C"/>
    <w:rsid w:val="007D5763"/>
    <w:rsid w:val="007D5A2A"/>
    <w:rsid w:val="007D5F6A"/>
    <w:rsid w:val="007E0A30"/>
    <w:rsid w:val="007E0B7A"/>
    <w:rsid w:val="007E58DC"/>
    <w:rsid w:val="007E5FCA"/>
    <w:rsid w:val="007E6437"/>
    <w:rsid w:val="007F1CD1"/>
    <w:rsid w:val="007F222E"/>
    <w:rsid w:val="007F23D3"/>
    <w:rsid w:val="007F27A9"/>
    <w:rsid w:val="007F31EA"/>
    <w:rsid w:val="007F38A8"/>
    <w:rsid w:val="007F4D67"/>
    <w:rsid w:val="007F5D22"/>
    <w:rsid w:val="007F7FF5"/>
    <w:rsid w:val="00803A08"/>
    <w:rsid w:val="00803F92"/>
    <w:rsid w:val="00804B17"/>
    <w:rsid w:val="00806F5F"/>
    <w:rsid w:val="0080746F"/>
    <w:rsid w:val="008133E6"/>
    <w:rsid w:val="00814113"/>
    <w:rsid w:val="00814CD9"/>
    <w:rsid w:val="00815AFC"/>
    <w:rsid w:val="0082194F"/>
    <w:rsid w:val="00823221"/>
    <w:rsid w:val="00823C96"/>
    <w:rsid w:val="008247ED"/>
    <w:rsid w:val="00826447"/>
    <w:rsid w:val="00830405"/>
    <w:rsid w:val="00832A27"/>
    <w:rsid w:val="00833DAC"/>
    <w:rsid w:val="0083403A"/>
    <w:rsid w:val="008346D4"/>
    <w:rsid w:val="0083798F"/>
    <w:rsid w:val="00837AD2"/>
    <w:rsid w:val="008416E8"/>
    <w:rsid w:val="00843D5D"/>
    <w:rsid w:val="008444F4"/>
    <w:rsid w:val="00844D5F"/>
    <w:rsid w:val="008463C7"/>
    <w:rsid w:val="0084699A"/>
    <w:rsid w:val="00846B47"/>
    <w:rsid w:val="008473F8"/>
    <w:rsid w:val="00847720"/>
    <w:rsid w:val="00850B3B"/>
    <w:rsid w:val="0085370A"/>
    <w:rsid w:val="00853FE9"/>
    <w:rsid w:val="0085518D"/>
    <w:rsid w:val="008556ED"/>
    <w:rsid w:val="0085759D"/>
    <w:rsid w:val="00857803"/>
    <w:rsid w:val="008605D7"/>
    <w:rsid w:val="0086124B"/>
    <w:rsid w:val="0086313A"/>
    <w:rsid w:val="00865695"/>
    <w:rsid w:val="0086612C"/>
    <w:rsid w:val="00867B55"/>
    <w:rsid w:val="008707DD"/>
    <w:rsid w:val="00870808"/>
    <w:rsid w:val="008715BD"/>
    <w:rsid w:val="00871B34"/>
    <w:rsid w:val="008728E5"/>
    <w:rsid w:val="008730AF"/>
    <w:rsid w:val="0087394E"/>
    <w:rsid w:val="0087407E"/>
    <w:rsid w:val="00874D66"/>
    <w:rsid w:val="00874EF3"/>
    <w:rsid w:val="0087501B"/>
    <w:rsid w:val="008752E4"/>
    <w:rsid w:val="00875C4D"/>
    <w:rsid w:val="008828CC"/>
    <w:rsid w:val="00882A2A"/>
    <w:rsid w:val="00882F66"/>
    <w:rsid w:val="00883C8F"/>
    <w:rsid w:val="008856D4"/>
    <w:rsid w:val="00885B45"/>
    <w:rsid w:val="00886674"/>
    <w:rsid w:val="00886A0D"/>
    <w:rsid w:val="00886A4B"/>
    <w:rsid w:val="0089239E"/>
    <w:rsid w:val="00892D23"/>
    <w:rsid w:val="00893E67"/>
    <w:rsid w:val="00893F42"/>
    <w:rsid w:val="00894027"/>
    <w:rsid w:val="00897CDF"/>
    <w:rsid w:val="008A1589"/>
    <w:rsid w:val="008A1D3F"/>
    <w:rsid w:val="008A2FD3"/>
    <w:rsid w:val="008A30D4"/>
    <w:rsid w:val="008A3580"/>
    <w:rsid w:val="008A3708"/>
    <w:rsid w:val="008A41EA"/>
    <w:rsid w:val="008A76B7"/>
    <w:rsid w:val="008B21A2"/>
    <w:rsid w:val="008B271D"/>
    <w:rsid w:val="008B2BB4"/>
    <w:rsid w:val="008B2C5D"/>
    <w:rsid w:val="008B401D"/>
    <w:rsid w:val="008B4660"/>
    <w:rsid w:val="008B477A"/>
    <w:rsid w:val="008B48B0"/>
    <w:rsid w:val="008B4A94"/>
    <w:rsid w:val="008C17F4"/>
    <w:rsid w:val="008C2333"/>
    <w:rsid w:val="008C3AB9"/>
    <w:rsid w:val="008C6115"/>
    <w:rsid w:val="008C77AB"/>
    <w:rsid w:val="008C784F"/>
    <w:rsid w:val="008D0D2D"/>
    <w:rsid w:val="008D129D"/>
    <w:rsid w:val="008D259A"/>
    <w:rsid w:val="008D296B"/>
    <w:rsid w:val="008D4E18"/>
    <w:rsid w:val="008D540A"/>
    <w:rsid w:val="008D6699"/>
    <w:rsid w:val="008D6D79"/>
    <w:rsid w:val="008D778E"/>
    <w:rsid w:val="008E02FA"/>
    <w:rsid w:val="008E18DF"/>
    <w:rsid w:val="008E2668"/>
    <w:rsid w:val="008E2827"/>
    <w:rsid w:val="008E2853"/>
    <w:rsid w:val="008E298D"/>
    <w:rsid w:val="008E576E"/>
    <w:rsid w:val="008E77CC"/>
    <w:rsid w:val="008E791A"/>
    <w:rsid w:val="008E7FA5"/>
    <w:rsid w:val="008F12F9"/>
    <w:rsid w:val="008F28BE"/>
    <w:rsid w:val="008F2930"/>
    <w:rsid w:val="008F2AD4"/>
    <w:rsid w:val="008F3949"/>
    <w:rsid w:val="008F3EAC"/>
    <w:rsid w:val="008F4AD3"/>
    <w:rsid w:val="008F6492"/>
    <w:rsid w:val="008F68DC"/>
    <w:rsid w:val="008F7490"/>
    <w:rsid w:val="00900820"/>
    <w:rsid w:val="0090257D"/>
    <w:rsid w:val="00903618"/>
    <w:rsid w:val="00903A69"/>
    <w:rsid w:val="00904873"/>
    <w:rsid w:val="009051CA"/>
    <w:rsid w:val="00906150"/>
    <w:rsid w:val="009061F0"/>
    <w:rsid w:val="009069DB"/>
    <w:rsid w:val="009119A0"/>
    <w:rsid w:val="00914BE8"/>
    <w:rsid w:val="00914E16"/>
    <w:rsid w:val="0091657F"/>
    <w:rsid w:val="009176FC"/>
    <w:rsid w:val="009212A9"/>
    <w:rsid w:val="00921553"/>
    <w:rsid w:val="009226A8"/>
    <w:rsid w:val="00922717"/>
    <w:rsid w:val="0092375A"/>
    <w:rsid w:val="00923CA4"/>
    <w:rsid w:val="00924116"/>
    <w:rsid w:val="009248D0"/>
    <w:rsid w:val="00926009"/>
    <w:rsid w:val="00927E36"/>
    <w:rsid w:val="0093023F"/>
    <w:rsid w:val="00933831"/>
    <w:rsid w:val="00933EA1"/>
    <w:rsid w:val="00937033"/>
    <w:rsid w:val="0093792C"/>
    <w:rsid w:val="009402EA"/>
    <w:rsid w:val="0094033C"/>
    <w:rsid w:val="00942193"/>
    <w:rsid w:val="0094325A"/>
    <w:rsid w:val="00945A89"/>
    <w:rsid w:val="0094765C"/>
    <w:rsid w:val="00950AD8"/>
    <w:rsid w:val="00951BD5"/>
    <w:rsid w:val="00952AB7"/>
    <w:rsid w:val="0095333B"/>
    <w:rsid w:val="00955445"/>
    <w:rsid w:val="009555F4"/>
    <w:rsid w:val="009564FB"/>
    <w:rsid w:val="0096015C"/>
    <w:rsid w:val="00960AD4"/>
    <w:rsid w:val="00960E7C"/>
    <w:rsid w:val="00962277"/>
    <w:rsid w:val="00963E6E"/>
    <w:rsid w:val="0096496F"/>
    <w:rsid w:val="00964CD4"/>
    <w:rsid w:val="00971363"/>
    <w:rsid w:val="00972E8A"/>
    <w:rsid w:val="00973045"/>
    <w:rsid w:val="00973C2D"/>
    <w:rsid w:val="00974D7F"/>
    <w:rsid w:val="00975AF0"/>
    <w:rsid w:val="00975E26"/>
    <w:rsid w:val="009800D7"/>
    <w:rsid w:val="009808E3"/>
    <w:rsid w:val="00980DA8"/>
    <w:rsid w:val="00981AB2"/>
    <w:rsid w:val="009826CC"/>
    <w:rsid w:val="00982A91"/>
    <w:rsid w:val="009834BE"/>
    <w:rsid w:val="00984416"/>
    <w:rsid w:val="00984733"/>
    <w:rsid w:val="00984809"/>
    <w:rsid w:val="00985975"/>
    <w:rsid w:val="009867D0"/>
    <w:rsid w:val="009869FB"/>
    <w:rsid w:val="009876F4"/>
    <w:rsid w:val="00990040"/>
    <w:rsid w:val="00990669"/>
    <w:rsid w:val="00990E25"/>
    <w:rsid w:val="009919B3"/>
    <w:rsid w:val="00991B17"/>
    <w:rsid w:val="00995020"/>
    <w:rsid w:val="009970B2"/>
    <w:rsid w:val="00997C99"/>
    <w:rsid w:val="00997F98"/>
    <w:rsid w:val="009A0574"/>
    <w:rsid w:val="009A0C96"/>
    <w:rsid w:val="009A0DF5"/>
    <w:rsid w:val="009A2CD5"/>
    <w:rsid w:val="009A2CF5"/>
    <w:rsid w:val="009A4324"/>
    <w:rsid w:val="009A4C57"/>
    <w:rsid w:val="009A6671"/>
    <w:rsid w:val="009A6BD6"/>
    <w:rsid w:val="009A71E9"/>
    <w:rsid w:val="009A7260"/>
    <w:rsid w:val="009B2760"/>
    <w:rsid w:val="009B2FBF"/>
    <w:rsid w:val="009B31E3"/>
    <w:rsid w:val="009B551B"/>
    <w:rsid w:val="009C0270"/>
    <w:rsid w:val="009C07D1"/>
    <w:rsid w:val="009C25DB"/>
    <w:rsid w:val="009C311C"/>
    <w:rsid w:val="009C5758"/>
    <w:rsid w:val="009C7D97"/>
    <w:rsid w:val="009D1F5E"/>
    <w:rsid w:val="009D39C7"/>
    <w:rsid w:val="009D3EEB"/>
    <w:rsid w:val="009D5112"/>
    <w:rsid w:val="009D520A"/>
    <w:rsid w:val="009D56CF"/>
    <w:rsid w:val="009D6D4D"/>
    <w:rsid w:val="009D7541"/>
    <w:rsid w:val="009D77F1"/>
    <w:rsid w:val="009D7F15"/>
    <w:rsid w:val="009E0208"/>
    <w:rsid w:val="009E108F"/>
    <w:rsid w:val="009E2CCD"/>
    <w:rsid w:val="009E2F6F"/>
    <w:rsid w:val="009E30F5"/>
    <w:rsid w:val="009E40B0"/>
    <w:rsid w:val="009E528D"/>
    <w:rsid w:val="009E68E3"/>
    <w:rsid w:val="009E6944"/>
    <w:rsid w:val="009E765B"/>
    <w:rsid w:val="009F0723"/>
    <w:rsid w:val="009F249E"/>
    <w:rsid w:val="009F4E42"/>
    <w:rsid w:val="009F571F"/>
    <w:rsid w:val="009F7046"/>
    <w:rsid w:val="009F75B9"/>
    <w:rsid w:val="00A0115D"/>
    <w:rsid w:val="00A01C08"/>
    <w:rsid w:val="00A021DE"/>
    <w:rsid w:val="00A02534"/>
    <w:rsid w:val="00A0532E"/>
    <w:rsid w:val="00A05473"/>
    <w:rsid w:val="00A056B9"/>
    <w:rsid w:val="00A07506"/>
    <w:rsid w:val="00A07A81"/>
    <w:rsid w:val="00A103A1"/>
    <w:rsid w:val="00A10F61"/>
    <w:rsid w:val="00A118F4"/>
    <w:rsid w:val="00A12E8B"/>
    <w:rsid w:val="00A1307A"/>
    <w:rsid w:val="00A13507"/>
    <w:rsid w:val="00A15184"/>
    <w:rsid w:val="00A17784"/>
    <w:rsid w:val="00A20AB5"/>
    <w:rsid w:val="00A21177"/>
    <w:rsid w:val="00A23227"/>
    <w:rsid w:val="00A23C81"/>
    <w:rsid w:val="00A24237"/>
    <w:rsid w:val="00A244D6"/>
    <w:rsid w:val="00A2495F"/>
    <w:rsid w:val="00A25755"/>
    <w:rsid w:val="00A25AFF"/>
    <w:rsid w:val="00A3066D"/>
    <w:rsid w:val="00A30A22"/>
    <w:rsid w:val="00A333E4"/>
    <w:rsid w:val="00A33E7A"/>
    <w:rsid w:val="00A34523"/>
    <w:rsid w:val="00A37F8E"/>
    <w:rsid w:val="00A37FCB"/>
    <w:rsid w:val="00A40590"/>
    <w:rsid w:val="00A40D5C"/>
    <w:rsid w:val="00A4188A"/>
    <w:rsid w:val="00A41A23"/>
    <w:rsid w:val="00A41B02"/>
    <w:rsid w:val="00A4211C"/>
    <w:rsid w:val="00A4220A"/>
    <w:rsid w:val="00A430B3"/>
    <w:rsid w:val="00A44B93"/>
    <w:rsid w:val="00A45893"/>
    <w:rsid w:val="00A462CC"/>
    <w:rsid w:val="00A46699"/>
    <w:rsid w:val="00A50767"/>
    <w:rsid w:val="00A5079E"/>
    <w:rsid w:val="00A50BEC"/>
    <w:rsid w:val="00A51418"/>
    <w:rsid w:val="00A51CEF"/>
    <w:rsid w:val="00A52004"/>
    <w:rsid w:val="00A526EE"/>
    <w:rsid w:val="00A52CCD"/>
    <w:rsid w:val="00A53172"/>
    <w:rsid w:val="00A53643"/>
    <w:rsid w:val="00A571A3"/>
    <w:rsid w:val="00A600A2"/>
    <w:rsid w:val="00A603B1"/>
    <w:rsid w:val="00A60EEB"/>
    <w:rsid w:val="00A61B33"/>
    <w:rsid w:val="00A621B0"/>
    <w:rsid w:val="00A6367F"/>
    <w:rsid w:val="00A63E17"/>
    <w:rsid w:val="00A64464"/>
    <w:rsid w:val="00A64CC3"/>
    <w:rsid w:val="00A65313"/>
    <w:rsid w:val="00A6729B"/>
    <w:rsid w:val="00A70489"/>
    <w:rsid w:val="00A70D6D"/>
    <w:rsid w:val="00A70F92"/>
    <w:rsid w:val="00A735BD"/>
    <w:rsid w:val="00A73F81"/>
    <w:rsid w:val="00A75CF0"/>
    <w:rsid w:val="00A7662F"/>
    <w:rsid w:val="00A7674E"/>
    <w:rsid w:val="00A81880"/>
    <w:rsid w:val="00A8454B"/>
    <w:rsid w:val="00A852F4"/>
    <w:rsid w:val="00A92DB1"/>
    <w:rsid w:val="00A94089"/>
    <w:rsid w:val="00A94557"/>
    <w:rsid w:val="00A95A16"/>
    <w:rsid w:val="00A95B59"/>
    <w:rsid w:val="00A97B9F"/>
    <w:rsid w:val="00A97CD5"/>
    <w:rsid w:val="00AA044C"/>
    <w:rsid w:val="00AA102B"/>
    <w:rsid w:val="00AA130F"/>
    <w:rsid w:val="00AA2F23"/>
    <w:rsid w:val="00AA3591"/>
    <w:rsid w:val="00AA38D2"/>
    <w:rsid w:val="00AA3F9E"/>
    <w:rsid w:val="00AA40D4"/>
    <w:rsid w:val="00AA4B83"/>
    <w:rsid w:val="00AA4EBC"/>
    <w:rsid w:val="00AA56DE"/>
    <w:rsid w:val="00AA7F45"/>
    <w:rsid w:val="00AB0112"/>
    <w:rsid w:val="00AB1924"/>
    <w:rsid w:val="00AB1A62"/>
    <w:rsid w:val="00AB1C07"/>
    <w:rsid w:val="00AB2D73"/>
    <w:rsid w:val="00AB2F01"/>
    <w:rsid w:val="00AB49BD"/>
    <w:rsid w:val="00AB705E"/>
    <w:rsid w:val="00AC0C8A"/>
    <w:rsid w:val="00AC0D93"/>
    <w:rsid w:val="00AC17FF"/>
    <w:rsid w:val="00AC1880"/>
    <w:rsid w:val="00AC199E"/>
    <w:rsid w:val="00AC30BE"/>
    <w:rsid w:val="00AC3655"/>
    <w:rsid w:val="00AC5110"/>
    <w:rsid w:val="00AD132E"/>
    <w:rsid w:val="00AD4282"/>
    <w:rsid w:val="00AD6626"/>
    <w:rsid w:val="00AD6A89"/>
    <w:rsid w:val="00AD7749"/>
    <w:rsid w:val="00AE1396"/>
    <w:rsid w:val="00AE34E4"/>
    <w:rsid w:val="00AE4216"/>
    <w:rsid w:val="00AE48CF"/>
    <w:rsid w:val="00AE4AB8"/>
    <w:rsid w:val="00AE57D4"/>
    <w:rsid w:val="00AE73D9"/>
    <w:rsid w:val="00AE7FB1"/>
    <w:rsid w:val="00AF09C1"/>
    <w:rsid w:val="00AF11EF"/>
    <w:rsid w:val="00AF2E0E"/>
    <w:rsid w:val="00AF3431"/>
    <w:rsid w:val="00AF42BA"/>
    <w:rsid w:val="00AF4674"/>
    <w:rsid w:val="00AF4E54"/>
    <w:rsid w:val="00AF6180"/>
    <w:rsid w:val="00B001B9"/>
    <w:rsid w:val="00B00A20"/>
    <w:rsid w:val="00B02371"/>
    <w:rsid w:val="00B03905"/>
    <w:rsid w:val="00B05607"/>
    <w:rsid w:val="00B06FFF"/>
    <w:rsid w:val="00B0717E"/>
    <w:rsid w:val="00B10604"/>
    <w:rsid w:val="00B1096F"/>
    <w:rsid w:val="00B10A5E"/>
    <w:rsid w:val="00B10FE1"/>
    <w:rsid w:val="00B117D1"/>
    <w:rsid w:val="00B12760"/>
    <w:rsid w:val="00B13BF9"/>
    <w:rsid w:val="00B14194"/>
    <w:rsid w:val="00B14717"/>
    <w:rsid w:val="00B14F0C"/>
    <w:rsid w:val="00B14FE0"/>
    <w:rsid w:val="00B15D8C"/>
    <w:rsid w:val="00B211C4"/>
    <w:rsid w:val="00B21D61"/>
    <w:rsid w:val="00B22C3C"/>
    <w:rsid w:val="00B22CFB"/>
    <w:rsid w:val="00B23600"/>
    <w:rsid w:val="00B239B7"/>
    <w:rsid w:val="00B24C4D"/>
    <w:rsid w:val="00B250C6"/>
    <w:rsid w:val="00B2678F"/>
    <w:rsid w:val="00B26C51"/>
    <w:rsid w:val="00B27387"/>
    <w:rsid w:val="00B30D9F"/>
    <w:rsid w:val="00B33587"/>
    <w:rsid w:val="00B33DF2"/>
    <w:rsid w:val="00B3444F"/>
    <w:rsid w:val="00B345EC"/>
    <w:rsid w:val="00B357A6"/>
    <w:rsid w:val="00B36A28"/>
    <w:rsid w:val="00B400E8"/>
    <w:rsid w:val="00B41701"/>
    <w:rsid w:val="00B4199A"/>
    <w:rsid w:val="00B41E1F"/>
    <w:rsid w:val="00B41FB0"/>
    <w:rsid w:val="00B433CF"/>
    <w:rsid w:val="00B43AB3"/>
    <w:rsid w:val="00B440B8"/>
    <w:rsid w:val="00B44F9F"/>
    <w:rsid w:val="00B45CE5"/>
    <w:rsid w:val="00B47310"/>
    <w:rsid w:val="00B5443F"/>
    <w:rsid w:val="00B546B4"/>
    <w:rsid w:val="00B564F2"/>
    <w:rsid w:val="00B60DD8"/>
    <w:rsid w:val="00B61556"/>
    <w:rsid w:val="00B65BBB"/>
    <w:rsid w:val="00B67B93"/>
    <w:rsid w:val="00B67E3C"/>
    <w:rsid w:val="00B711B8"/>
    <w:rsid w:val="00B7206B"/>
    <w:rsid w:val="00B7326A"/>
    <w:rsid w:val="00B75FD6"/>
    <w:rsid w:val="00B76CEF"/>
    <w:rsid w:val="00B773CA"/>
    <w:rsid w:val="00B840ED"/>
    <w:rsid w:val="00B8644C"/>
    <w:rsid w:val="00B87E0C"/>
    <w:rsid w:val="00B90546"/>
    <w:rsid w:val="00B90A64"/>
    <w:rsid w:val="00B90EE7"/>
    <w:rsid w:val="00B92541"/>
    <w:rsid w:val="00B928A7"/>
    <w:rsid w:val="00B930C6"/>
    <w:rsid w:val="00B931E6"/>
    <w:rsid w:val="00B93668"/>
    <w:rsid w:val="00B93B5F"/>
    <w:rsid w:val="00B93D38"/>
    <w:rsid w:val="00B9491D"/>
    <w:rsid w:val="00B9503E"/>
    <w:rsid w:val="00B95C7F"/>
    <w:rsid w:val="00B97ABA"/>
    <w:rsid w:val="00BA0C85"/>
    <w:rsid w:val="00BA14BD"/>
    <w:rsid w:val="00BA1912"/>
    <w:rsid w:val="00BA210E"/>
    <w:rsid w:val="00BA2274"/>
    <w:rsid w:val="00BA4DFE"/>
    <w:rsid w:val="00BA5260"/>
    <w:rsid w:val="00BA5616"/>
    <w:rsid w:val="00BA7DB6"/>
    <w:rsid w:val="00BA7E09"/>
    <w:rsid w:val="00BB0060"/>
    <w:rsid w:val="00BB01E1"/>
    <w:rsid w:val="00BB083B"/>
    <w:rsid w:val="00BB15B8"/>
    <w:rsid w:val="00BB1F23"/>
    <w:rsid w:val="00BB36FC"/>
    <w:rsid w:val="00BB7804"/>
    <w:rsid w:val="00BC0C74"/>
    <w:rsid w:val="00BC3449"/>
    <w:rsid w:val="00BC7090"/>
    <w:rsid w:val="00BD0161"/>
    <w:rsid w:val="00BD0FF4"/>
    <w:rsid w:val="00BD2837"/>
    <w:rsid w:val="00BD2E02"/>
    <w:rsid w:val="00BD413A"/>
    <w:rsid w:val="00BD4B51"/>
    <w:rsid w:val="00BE0532"/>
    <w:rsid w:val="00BE1270"/>
    <w:rsid w:val="00BE2B11"/>
    <w:rsid w:val="00BE52DE"/>
    <w:rsid w:val="00BE55C0"/>
    <w:rsid w:val="00BE5A94"/>
    <w:rsid w:val="00BE60FA"/>
    <w:rsid w:val="00BF0EFA"/>
    <w:rsid w:val="00BF1051"/>
    <w:rsid w:val="00BF19C0"/>
    <w:rsid w:val="00BF1F5B"/>
    <w:rsid w:val="00BF3B35"/>
    <w:rsid w:val="00BF4D1E"/>
    <w:rsid w:val="00C03734"/>
    <w:rsid w:val="00C0542A"/>
    <w:rsid w:val="00C05A56"/>
    <w:rsid w:val="00C05C81"/>
    <w:rsid w:val="00C061C6"/>
    <w:rsid w:val="00C07070"/>
    <w:rsid w:val="00C07A1A"/>
    <w:rsid w:val="00C121EB"/>
    <w:rsid w:val="00C14710"/>
    <w:rsid w:val="00C14789"/>
    <w:rsid w:val="00C1542A"/>
    <w:rsid w:val="00C163C5"/>
    <w:rsid w:val="00C172A5"/>
    <w:rsid w:val="00C20D7F"/>
    <w:rsid w:val="00C21220"/>
    <w:rsid w:val="00C22139"/>
    <w:rsid w:val="00C22583"/>
    <w:rsid w:val="00C24E25"/>
    <w:rsid w:val="00C251EE"/>
    <w:rsid w:val="00C27607"/>
    <w:rsid w:val="00C27655"/>
    <w:rsid w:val="00C31D15"/>
    <w:rsid w:val="00C31DAA"/>
    <w:rsid w:val="00C341CC"/>
    <w:rsid w:val="00C3432C"/>
    <w:rsid w:val="00C34930"/>
    <w:rsid w:val="00C3552E"/>
    <w:rsid w:val="00C361EC"/>
    <w:rsid w:val="00C36C75"/>
    <w:rsid w:val="00C37F4F"/>
    <w:rsid w:val="00C40BAF"/>
    <w:rsid w:val="00C41070"/>
    <w:rsid w:val="00C42670"/>
    <w:rsid w:val="00C43333"/>
    <w:rsid w:val="00C444C9"/>
    <w:rsid w:val="00C44647"/>
    <w:rsid w:val="00C45251"/>
    <w:rsid w:val="00C45420"/>
    <w:rsid w:val="00C4596B"/>
    <w:rsid w:val="00C45F79"/>
    <w:rsid w:val="00C50168"/>
    <w:rsid w:val="00C5085A"/>
    <w:rsid w:val="00C52960"/>
    <w:rsid w:val="00C52B49"/>
    <w:rsid w:val="00C53172"/>
    <w:rsid w:val="00C531BA"/>
    <w:rsid w:val="00C5412B"/>
    <w:rsid w:val="00C54388"/>
    <w:rsid w:val="00C55191"/>
    <w:rsid w:val="00C555D0"/>
    <w:rsid w:val="00C574A7"/>
    <w:rsid w:val="00C623AC"/>
    <w:rsid w:val="00C62DC5"/>
    <w:rsid w:val="00C6342D"/>
    <w:rsid w:val="00C63C12"/>
    <w:rsid w:val="00C63C9E"/>
    <w:rsid w:val="00C66E73"/>
    <w:rsid w:val="00C678D1"/>
    <w:rsid w:val="00C712EF"/>
    <w:rsid w:val="00C7334B"/>
    <w:rsid w:val="00C73A63"/>
    <w:rsid w:val="00C73B45"/>
    <w:rsid w:val="00C756D4"/>
    <w:rsid w:val="00C76616"/>
    <w:rsid w:val="00C776C5"/>
    <w:rsid w:val="00C801BD"/>
    <w:rsid w:val="00C80A4F"/>
    <w:rsid w:val="00C81878"/>
    <w:rsid w:val="00C81F93"/>
    <w:rsid w:val="00C8264E"/>
    <w:rsid w:val="00C827AD"/>
    <w:rsid w:val="00C83358"/>
    <w:rsid w:val="00C83B81"/>
    <w:rsid w:val="00C83D8E"/>
    <w:rsid w:val="00C851A5"/>
    <w:rsid w:val="00C864C0"/>
    <w:rsid w:val="00C90878"/>
    <w:rsid w:val="00C90D5D"/>
    <w:rsid w:val="00C91590"/>
    <w:rsid w:val="00C9202F"/>
    <w:rsid w:val="00C922E8"/>
    <w:rsid w:val="00C926AA"/>
    <w:rsid w:val="00C93954"/>
    <w:rsid w:val="00C945BB"/>
    <w:rsid w:val="00C94A0E"/>
    <w:rsid w:val="00C94D8A"/>
    <w:rsid w:val="00CA18A2"/>
    <w:rsid w:val="00CA1E1F"/>
    <w:rsid w:val="00CA20DA"/>
    <w:rsid w:val="00CA2A96"/>
    <w:rsid w:val="00CA3C58"/>
    <w:rsid w:val="00CA469D"/>
    <w:rsid w:val="00CA53C1"/>
    <w:rsid w:val="00CA7584"/>
    <w:rsid w:val="00CA7809"/>
    <w:rsid w:val="00CB2013"/>
    <w:rsid w:val="00CB36A7"/>
    <w:rsid w:val="00CB36ED"/>
    <w:rsid w:val="00CB44E5"/>
    <w:rsid w:val="00CB4AA9"/>
    <w:rsid w:val="00CB78F6"/>
    <w:rsid w:val="00CC0F5F"/>
    <w:rsid w:val="00CC21AA"/>
    <w:rsid w:val="00CC2263"/>
    <w:rsid w:val="00CC279D"/>
    <w:rsid w:val="00CC2C71"/>
    <w:rsid w:val="00CC35B3"/>
    <w:rsid w:val="00CC3D50"/>
    <w:rsid w:val="00CC54FA"/>
    <w:rsid w:val="00CC666A"/>
    <w:rsid w:val="00CD0139"/>
    <w:rsid w:val="00CD10A6"/>
    <w:rsid w:val="00CD19E7"/>
    <w:rsid w:val="00CD1F14"/>
    <w:rsid w:val="00CD2DC8"/>
    <w:rsid w:val="00CD57C0"/>
    <w:rsid w:val="00CD626A"/>
    <w:rsid w:val="00CD7711"/>
    <w:rsid w:val="00CE022D"/>
    <w:rsid w:val="00CE112D"/>
    <w:rsid w:val="00CE1A2C"/>
    <w:rsid w:val="00CE1E51"/>
    <w:rsid w:val="00CE2069"/>
    <w:rsid w:val="00CE3674"/>
    <w:rsid w:val="00CE38F4"/>
    <w:rsid w:val="00CE3B46"/>
    <w:rsid w:val="00CE4404"/>
    <w:rsid w:val="00CE607D"/>
    <w:rsid w:val="00CE65A7"/>
    <w:rsid w:val="00CE715E"/>
    <w:rsid w:val="00CE7584"/>
    <w:rsid w:val="00CE761E"/>
    <w:rsid w:val="00CE7F6C"/>
    <w:rsid w:val="00CF19AC"/>
    <w:rsid w:val="00CF1ED0"/>
    <w:rsid w:val="00CF398D"/>
    <w:rsid w:val="00CF4A46"/>
    <w:rsid w:val="00D011A6"/>
    <w:rsid w:val="00D01B59"/>
    <w:rsid w:val="00D02723"/>
    <w:rsid w:val="00D03444"/>
    <w:rsid w:val="00D044EA"/>
    <w:rsid w:val="00D04FF5"/>
    <w:rsid w:val="00D05725"/>
    <w:rsid w:val="00D059A3"/>
    <w:rsid w:val="00D06074"/>
    <w:rsid w:val="00D062EF"/>
    <w:rsid w:val="00D064C8"/>
    <w:rsid w:val="00D06BF0"/>
    <w:rsid w:val="00D06C4B"/>
    <w:rsid w:val="00D104FC"/>
    <w:rsid w:val="00D11DB4"/>
    <w:rsid w:val="00D15B29"/>
    <w:rsid w:val="00D1738D"/>
    <w:rsid w:val="00D17C93"/>
    <w:rsid w:val="00D21B52"/>
    <w:rsid w:val="00D2206B"/>
    <w:rsid w:val="00D22826"/>
    <w:rsid w:val="00D22ABE"/>
    <w:rsid w:val="00D2318B"/>
    <w:rsid w:val="00D2389D"/>
    <w:rsid w:val="00D2504F"/>
    <w:rsid w:val="00D25239"/>
    <w:rsid w:val="00D25495"/>
    <w:rsid w:val="00D25545"/>
    <w:rsid w:val="00D25AA0"/>
    <w:rsid w:val="00D25B6B"/>
    <w:rsid w:val="00D30FF0"/>
    <w:rsid w:val="00D32253"/>
    <w:rsid w:val="00D32883"/>
    <w:rsid w:val="00D32D93"/>
    <w:rsid w:val="00D33D64"/>
    <w:rsid w:val="00D34E5D"/>
    <w:rsid w:val="00D34FE0"/>
    <w:rsid w:val="00D356C9"/>
    <w:rsid w:val="00D37AE7"/>
    <w:rsid w:val="00D407DE"/>
    <w:rsid w:val="00D41583"/>
    <w:rsid w:val="00D41BB7"/>
    <w:rsid w:val="00D41E2A"/>
    <w:rsid w:val="00D42C9D"/>
    <w:rsid w:val="00D43D02"/>
    <w:rsid w:val="00D453EF"/>
    <w:rsid w:val="00D45727"/>
    <w:rsid w:val="00D45B52"/>
    <w:rsid w:val="00D45FBD"/>
    <w:rsid w:val="00D509EA"/>
    <w:rsid w:val="00D50B3B"/>
    <w:rsid w:val="00D51932"/>
    <w:rsid w:val="00D51A6C"/>
    <w:rsid w:val="00D51AB0"/>
    <w:rsid w:val="00D5367A"/>
    <w:rsid w:val="00D53E58"/>
    <w:rsid w:val="00D542F6"/>
    <w:rsid w:val="00D54747"/>
    <w:rsid w:val="00D568CA"/>
    <w:rsid w:val="00D60AAB"/>
    <w:rsid w:val="00D60B97"/>
    <w:rsid w:val="00D633FE"/>
    <w:rsid w:val="00D63DA6"/>
    <w:rsid w:val="00D65668"/>
    <w:rsid w:val="00D6726B"/>
    <w:rsid w:val="00D6739C"/>
    <w:rsid w:val="00D6788F"/>
    <w:rsid w:val="00D67BBB"/>
    <w:rsid w:val="00D70D09"/>
    <w:rsid w:val="00D72216"/>
    <w:rsid w:val="00D723BE"/>
    <w:rsid w:val="00D744C0"/>
    <w:rsid w:val="00D74C5C"/>
    <w:rsid w:val="00D7526B"/>
    <w:rsid w:val="00D75D37"/>
    <w:rsid w:val="00D7638D"/>
    <w:rsid w:val="00D7712E"/>
    <w:rsid w:val="00D7753A"/>
    <w:rsid w:val="00D77619"/>
    <w:rsid w:val="00D81246"/>
    <w:rsid w:val="00D82388"/>
    <w:rsid w:val="00D830F8"/>
    <w:rsid w:val="00D83265"/>
    <w:rsid w:val="00D839FA"/>
    <w:rsid w:val="00D83B7D"/>
    <w:rsid w:val="00D83DB7"/>
    <w:rsid w:val="00D84472"/>
    <w:rsid w:val="00D8462B"/>
    <w:rsid w:val="00D84F63"/>
    <w:rsid w:val="00D85993"/>
    <w:rsid w:val="00D85F94"/>
    <w:rsid w:val="00D8752A"/>
    <w:rsid w:val="00D87886"/>
    <w:rsid w:val="00D91C83"/>
    <w:rsid w:val="00D93360"/>
    <w:rsid w:val="00D93475"/>
    <w:rsid w:val="00D939CC"/>
    <w:rsid w:val="00D94273"/>
    <w:rsid w:val="00D942FC"/>
    <w:rsid w:val="00D94EFD"/>
    <w:rsid w:val="00D96AFE"/>
    <w:rsid w:val="00D97B62"/>
    <w:rsid w:val="00DA0BEA"/>
    <w:rsid w:val="00DA0E89"/>
    <w:rsid w:val="00DA3506"/>
    <w:rsid w:val="00DA3DE6"/>
    <w:rsid w:val="00DA3EC7"/>
    <w:rsid w:val="00DA4D29"/>
    <w:rsid w:val="00DA59EA"/>
    <w:rsid w:val="00DB0397"/>
    <w:rsid w:val="00DB0567"/>
    <w:rsid w:val="00DB292E"/>
    <w:rsid w:val="00DB3754"/>
    <w:rsid w:val="00DB38ED"/>
    <w:rsid w:val="00DB4142"/>
    <w:rsid w:val="00DB6BE4"/>
    <w:rsid w:val="00DB77B1"/>
    <w:rsid w:val="00DB7FBE"/>
    <w:rsid w:val="00DC007A"/>
    <w:rsid w:val="00DC0371"/>
    <w:rsid w:val="00DC0A0A"/>
    <w:rsid w:val="00DC0AFB"/>
    <w:rsid w:val="00DC0B06"/>
    <w:rsid w:val="00DC2ADB"/>
    <w:rsid w:val="00DC311C"/>
    <w:rsid w:val="00DC366E"/>
    <w:rsid w:val="00DC4735"/>
    <w:rsid w:val="00DC4D97"/>
    <w:rsid w:val="00DC56A7"/>
    <w:rsid w:val="00DD013A"/>
    <w:rsid w:val="00DD0858"/>
    <w:rsid w:val="00DD176E"/>
    <w:rsid w:val="00DD1B31"/>
    <w:rsid w:val="00DD1B5E"/>
    <w:rsid w:val="00DD3E51"/>
    <w:rsid w:val="00DD7D47"/>
    <w:rsid w:val="00DE002A"/>
    <w:rsid w:val="00DE15C2"/>
    <w:rsid w:val="00DE2CF7"/>
    <w:rsid w:val="00DE5B73"/>
    <w:rsid w:val="00DE5DB5"/>
    <w:rsid w:val="00DE7956"/>
    <w:rsid w:val="00DE7F88"/>
    <w:rsid w:val="00DF0AEB"/>
    <w:rsid w:val="00DF198A"/>
    <w:rsid w:val="00DF20F6"/>
    <w:rsid w:val="00DF3C69"/>
    <w:rsid w:val="00DF4256"/>
    <w:rsid w:val="00DF4AF4"/>
    <w:rsid w:val="00DF51DA"/>
    <w:rsid w:val="00DF5782"/>
    <w:rsid w:val="00DF5CC6"/>
    <w:rsid w:val="00DF7883"/>
    <w:rsid w:val="00DF7DA9"/>
    <w:rsid w:val="00E01D56"/>
    <w:rsid w:val="00E02DCB"/>
    <w:rsid w:val="00E055D6"/>
    <w:rsid w:val="00E056CE"/>
    <w:rsid w:val="00E066D9"/>
    <w:rsid w:val="00E071E4"/>
    <w:rsid w:val="00E10384"/>
    <w:rsid w:val="00E111F3"/>
    <w:rsid w:val="00E11385"/>
    <w:rsid w:val="00E13A88"/>
    <w:rsid w:val="00E13B23"/>
    <w:rsid w:val="00E1677E"/>
    <w:rsid w:val="00E175C9"/>
    <w:rsid w:val="00E17FDC"/>
    <w:rsid w:val="00E2052D"/>
    <w:rsid w:val="00E206C2"/>
    <w:rsid w:val="00E2269D"/>
    <w:rsid w:val="00E233A5"/>
    <w:rsid w:val="00E25015"/>
    <w:rsid w:val="00E251AB"/>
    <w:rsid w:val="00E25230"/>
    <w:rsid w:val="00E27114"/>
    <w:rsid w:val="00E30249"/>
    <w:rsid w:val="00E30488"/>
    <w:rsid w:val="00E306FB"/>
    <w:rsid w:val="00E33209"/>
    <w:rsid w:val="00E3334E"/>
    <w:rsid w:val="00E35C29"/>
    <w:rsid w:val="00E35F95"/>
    <w:rsid w:val="00E37DED"/>
    <w:rsid w:val="00E401F3"/>
    <w:rsid w:val="00E402EA"/>
    <w:rsid w:val="00E43BFC"/>
    <w:rsid w:val="00E43EAD"/>
    <w:rsid w:val="00E4423B"/>
    <w:rsid w:val="00E454AA"/>
    <w:rsid w:val="00E464F1"/>
    <w:rsid w:val="00E503FC"/>
    <w:rsid w:val="00E53B05"/>
    <w:rsid w:val="00E57F67"/>
    <w:rsid w:val="00E60742"/>
    <w:rsid w:val="00E61DAF"/>
    <w:rsid w:val="00E64879"/>
    <w:rsid w:val="00E6513A"/>
    <w:rsid w:val="00E66A8A"/>
    <w:rsid w:val="00E714B4"/>
    <w:rsid w:val="00E71A0B"/>
    <w:rsid w:val="00E71B6C"/>
    <w:rsid w:val="00E71D86"/>
    <w:rsid w:val="00E72566"/>
    <w:rsid w:val="00E74E7B"/>
    <w:rsid w:val="00E80081"/>
    <w:rsid w:val="00E802D1"/>
    <w:rsid w:val="00E80FCF"/>
    <w:rsid w:val="00E817B3"/>
    <w:rsid w:val="00E835C9"/>
    <w:rsid w:val="00E84BEC"/>
    <w:rsid w:val="00E850D1"/>
    <w:rsid w:val="00E862A3"/>
    <w:rsid w:val="00E86FC1"/>
    <w:rsid w:val="00E878C4"/>
    <w:rsid w:val="00E87F3B"/>
    <w:rsid w:val="00E90054"/>
    <w:rsid w:val="00E909BB"/>
    <w:rsid w:val="00E90C56"/>
    <w:rsid w:val="00E91576"/>
    <w:rsid w:val="00E9234C"/>
    <w:rsid w:val="00E92BC2"/>
    <w:rsid w:val="00E92F0F"/>
    <w:rsid w:val="00E93B8D"/>
    <w:rsid w:val="00E9586C"/>
    <w:rsid w:val="00E95A5F"/>
    <w:rsid w:val="00E966B6"/>
    <w:rsid w:val="00E96EAD"/>
    <w:rsid w:val="00E97929"/>
    <w:rsid w:val="00E97AD7"/>
    <w:rsid w:val="00EA023F"/>
    <w:rsid w:val="00EA26C4"/>
    <w:rsid w:val="00EA35C0"/>
    <w:rsid w:val="00EA45EB"/>
    <w:rsid w:val="00EA51FD"/>
    <w:rsid w:val="00EA569A"/>
    <w:rsid w:val="00EA59F5"/>
    <w:rsid w:val="00EA5BA7"/>
    <w:rsid w:val="00EA5C18"/>
    <w:rsid w:val="00EA67A1"/>
    <w:rsid w:val="00EA6817"/>
    <w:rsid w:val="00EA6943"/>
    <w:rsid w:val="00EB0103"/>
    <w:rsid w:val="00EB05A8"/>
    <w:rsid w:val="00EB19D4"/>
    <w:rsid w:val="00EB2541"/>
    <w:rsid w:val="00EB2EA0"/>
    <w:rsid w:val="00EB3313"/>
    <w:rsid w:val="00EB3668"/>
    <w:rsid w:val="00EB3A82"/>
    <w:rsid w:val="00EB4E04"/>
    <w:rsid w:val="00EB5CEA"/>
    <w:rsid w:val="00EB6C76"/>
    <w:rsid w:val="00EB6D24"/>
    <w:rsid w:val="00EB7091"/>
    <w:rsid w:val="00EB752B"/>
    <w:rsid w:val="00EC013E"/>
    <w:rsid w:val="00EC161A"/>
    <w:rsid w:val="00EC19E1"/>
    <w:rsid w:val="00EC1B33"/>
    <w:rsid w:val="00EC22C0"/>
    <w:rsid w:val="00EC2567"/>
    <w:rsid w:val="00EC2BA7"/>
    <w:rsid w:val="00EC3169"/>
    <w:rsid w:val="00EC3B56"/>
    <w:rsid w:val="00EC5B8B"/>
    <w:rsid w:val="00EC6AFE"/>
    <w:rsid w:val="00ED1972"/>
    <w:rsid w:val="00ED2492"/>
    <w:rsid w:val="00ED3412"/>
    <w:rsid w:val="00ED3E83"/>
    <w:rsid w:val="00ED59B1"/>
    <w:rsid w:val="00ED689E"/>
    <w:rsid w:val="00ED78EB"/>
    <w:rsid w:val="00EE1179"/>
    <w:rsid w:val="00EE18FF"/>
    <w:rsid w:val="00EE2AAA"/>
    <w:rsid w:val="00EE3804"/>
    <w:rsid w:val="00EE45E2"/>
    <w:rsid w:val="00EE4EA1"/>
    <w:rsid w:val="00EE59A0"/>
    <w:rsid w:val="00EE612C"/>
    <w:rsid w:val="00EF0830"/>
    <w:rsid w:val="00EF1FF9"/>
    <w:rsid w:val="00EF21A2"/>
    <w:rsid w:val="00EF2339"/>
    <w:rsid w:val="00EF2B45"/>
    <w:rsid w:val="00EF32A7"/>
    <w:rsid w:val="00EF3A8A"/>
    <w:rsid w:val="00EF5C29"/>
    <w:rsid w:val="00EF77DF"/>
    <w:rsid w:val="00F02140"/>
    <w:rsid w:val="00F02D96"/>
    <w:rsid w:val="00F035AC"/>
    <w:rsid w:val="00F0440B"/>
    <w:rsid w:val="00F04413"/>
    <w:rsid w:val="00F05143"/>
    <w:rsid w:val="00F0623B"/>
    <w:rsid w:val="00F0669A"/>
    <w:rsid w:val="00F0738C"/>
    <w:rsid w:val="00F101CC"/>
    <w:rsid w:val="00F1020B"/>
    <w:rsid w:val="00F10407"/>
    <w:rsid w:val="00F10ADC"/>
    <w:rsid w:val="00F1102E"/>
    <w:rsid w:val="00F1182F"/>
    <w:rsid w:val="00F12890"/>
    <w:rsid w:val="00F13E6C"/>
    <w:rsid w:val="00F14D6C"/>
    <w:rsid w:val="00F14E5D"/>
    <w:rsid w:val="00F16802"/>
    <w:rsid w:val="00F179E0"/>
    <w:rsid w:val="00F2009D"/>
    <w:rsid w:val="00F200F3"/>
    <w:rsid w:val="00F20285"/>
    <w:rsid w:val="00F20946"/>
    <w:rsid w:val="00F21179"/>
    <w:rsid w:val="00F2130D"/>
    <w:rsid w:val="00F21AE8"/>
    <w:rsid w:val="00F2247F"/>
    <w:rsid w:val="00F23029"/>
    <w:rsid w:val="00F23BC4"/>
    <w:rsid w:val="00F25DB8"/>
    <w:rsid w:val="00F260BE"/>
    <w:rsid w:val="00F2735F"/>
    <w:rsid w:val="00F3108F"/>
    <w:rsid w:val="00F310BC"/>
    <w:rsid w:val="00F32222"/>
    <w:rsid w:val="00F34474"/>
    <w:rsid w:val="00F34620"/>
    <w:rsid w:val="00F35404"/>
    <w:rsid w:val="00F36663"/>
    <w:rsid w:val="00F36F11"/>
    <w:rsid w:val="00F372AC"/>
    <w:rsid w:val="00F40AAC"/>
    <w:rsid w:val="00F41AA7"/>
    <w:rsid w:val="00F41D5E"/>
    <w:rsid w:val="00F4284B"/>
    <w:rsid w:val="00F444C4"/>
    <w:rsid w:val="00F44C03"/>
    <w:rsid w:val="00F47280"/>
    <w:rsid w:val="00F509E7"/>
    <w:rsid w:val="00F51702"/>
    <w:rsid w:val="00F520C8"/>
    <w:rsid w:val="00F5248C"/>
    <w:rsid w:val="00F52655"/>
    <w:rsid w:val="00F53524"/>
    <w:rsid w:val="00F53867"/>
    <w:rsid w:val="00F5498F"/>
    <w:rsid w:val="00F550F3"/>
    <w:rsid w:val="00F552B4"/>
    <w:rsid w:val="00F55DE1"/>
    <w:rsid w:val="00F57282"/>
    <w:rsid w:val="00F6071E"/>
    <w:rsid w:val="00F60B2D"/>
    <w:rsid w:val="00F623E1"/>
    <w:rsid w:val="00F6369F"/>
    <w:rsid w:val="00F63EED"/>
    <w:rsid w:val="00F66F15"/>
    <w:rsid w:val="00F672D9"/>
    <w:rsid w:val="00F71774"/>
    <w:rsid w:val="00F71DE9"/>
    <w:rsid w:val="00F73589"/>
    <w:rsid w:val="00F73B2C"/>
    <w:rsid w:val="00F74E4A"/>
    <w:rsid w:val="00F75C6B"/>
    <w:rsid w:val="00F76CF1"/>
    <w:rsid w:val="00F7717E"/>
    <w:rsid w:val="00F80A38"/>
    <w:rsid w:val="00F810C0"/>
    <w:rsid w:val="00F810E8"/>
    <w:rsid w:val="00F81C4F"/>
    <w:rsid w:val="00F81D77"/>
    <w:rsid w:val="00F83D28"/>
    <w:rsid w:val="00F846D3"/>
    <w:rsid w:val="00F851B1"/>
    <w:rsid w:val="00F861A0"/>
    <w:rsid w:val="00F906C9"/>
    <w:rsid w:val="00F908BF"/>
    <w:rsid w:val="00F90E49"/>
    <w:rsid w:val="00F91512"/>
    <w:rsid w:val="00F92D48"/>
    <w:rsid w:val="00F9395D"/>
    <w:rsid w:val="00F93E64"/>
    <w:rsid w:val="00F94918"/>
    <w:rsid w:val="00F949A8"/>
    <w:rsid w:val="00F949D6"/>
    <w:rsid w:val="00F94BE4"/>
    <w:rsid w:val="00F95F9C"/>
    <w:rsid w:val="00F96D29"/>
    <w:rsid w:val="00FA0788"/>
    <w:rsid w:val="00FA1842"/>
    <w:rsid w:val="00FA2182"/>
    <w:rsid w:val="00FA2E92"/>
    <w:rsid w:val="00FA2EE4"/>
    <w:rsid w:val="00FA506F"/>
    <w:rsid w:val="00FA6CAE"/>
    <w:rsid w:val="00FA7780"/>
    <w:rsid w:val="00FB0749"/>
    <w:rsid w:val="00FB1E16"/>
    <w:rsid w:val="00FB2022"/>
    <w:rsid w:val="00FB2D24"/>
    <w:rsid w:val="00FB323E"/>
    <w:rsid w:val="00FB3D5F"/>
    <w:rsid w:val="00FB544C"/>
    <w:rsid w:val="00FB69A4"/>
    <w:rsid w:val="00FB72A3"/>
    <w:rsid w:val="00FC01ED"/>
    <w:rsid w:val="00FC1F29"/>
    <w:rsid w:val="00FC2615"/>
    <w:rsid w:val="00FC2F9B"/>
    <w:rsid w:val="00FC3CFF"/>
    <w:rsid w:val="00FC747E"/>
    <w:rsid w:val="00FC77ED"/>
    <w:rsid w:val="00FD06EB"/>
    <w:rsid w:val="00FD1957"/>
    <w:rsid w:val="00FD2640"/>
    <w:rsid w:val="00FD2E8A"/>
    <w:rsid w:val="00FD5C82"/>
    <w:rsid w:val="00FD6D0E"/>
    <w:rsid w:val="00FD7998"/>
    <w:rsid w:val="00FD7C07"/>
    <w:rsid w:val="00FD7D6A"/>
    <w:rsid w:val="00FE200A"/>
    <w:rsid w:val="00FE2581"/>
    <w:rsid w:val="00FE2999"/>
    <w:rsid w:val="00FE2E28"/>
    <w:rsid w:val="00FE48BE"/>
    <w:rsid w:val="00FE4ACC"/>
    <w:rsid w:val="00FE546F"/>
    <w:rsid w:val="00FE702E"/>
    <w:rsid w:val="00FE704A"/>
    <w:rsid w:val="00FF075D"/>
    <w:rsid w:val="00FF12F0"/>
    <w:rsid w:val="00FF2F15"/>
    <w:rsid w:val="00FF3649"/>
    <w:rsid w:val="00FF53DB"/>
    <w:rsid w:val="00FF76F7"/>
    <w:rsid w:val="1F2765E8"/>
    <w:rsid w:val="215AD7B3"/>
    <w:rsid w:val="306E0694"/>
    <w:rsid w:val="36A08C09"/>
    <w:rsid w:val="4C9D4288"/>
    <w:rsid w:val="4D0AB0B6"/>
    <w:rsid w:val="77BDBBFA"/>
    <w:rsid w:val="77C44091"/>
    <w:rsid w:val="79ECE2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7F2A2218-989B-4D62-808E-46E0F228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Heading2"/>
    <w:next w:val="Normal"/>
    <w:link w:val="Heading1Char"/>
    <w:uiPriority w:val="9"/>
    <w:qFormat/>
    <w:rsid w:val="0095333B"/>
    <w:pPr>
      <w:spacing w:before="160" w:after="80" w:line="240" w:lineRule="auto"/>
      <w:outlineLvl w:val="0"/>
    </w:pPr>
    <w:rPr>
      <w:bCs/>
      <w:color w:val="5F266B"/>
      <w:sz w:val="32"/>
      <w:szCs w:val="22"/>
    </w:rPr>
  </w:style>
  <w:style w:type="paragraph" w:styleId="Heading2">
    <w:name w:val="heading 2"/>
    <w:basedOn w:val="Normal"/>
    <w:next w:val="Normal"/>
    <w:link w:val="Heading2Char"/>
    <w:uiPriority w:val="9"/>
    <w:unhideWhenUsed/>
    <w:qFormat/>
    <w:rsid w:val="0095333B"/>
    <w:pPr>
      <w:keepNext/>
      <w:keepLines/>
      <w:spacing w:before="40" w:after="0"/>
      <w:outlineLvl w:val="1"/>
    </w:pPr>
    <w:rPr>
      <w:rFonts w:asciiTheme="majorHAnsi" w:hAnsiTheme="majorHAnsi" w:cstheme="majorHAnsi"/>
      <w:b/>
      <w:color w:val="58227B"/>
      <w:kern w:val="2"/>
      <w:sz w:val="24"/>
      <w:lang w:val="en-ZA" w:eastAsia="ko-KR"/>
      <w14:ligatures w14:val="standardContextual"/>
    </w:rPr>
  </w:style>
  <w:style w:type="paragraph" w:styleId="Heading3">
    <w:name w:val="heading 3"/>
    <w:basedOn w:val="Heading2"/>
    <w:next w:val="Normal"/>
    <w:link w:val="Heading3Char"/>
    <w:uiPriority w:val="9"/>
    <w:unhideWhenUsed/>
    <w:qFormat/>
    <w:rsid w:val="0095333B"/>
    <w:pPr>
      <w:outlineLvl w:val="2"/>
    </w:pPr>
    <w:rPr>
      <w:i/>
      <w:iCs/>
      <w:sz w:val="22"/>
      <w:szCs w:val="2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95333B"/>
    <w:rPr>
      <w:rFonts w:asciiTheme="majorHAnsi" w:eastAsiaTheme="majorEastAsia" w:hAnsiTheme="majorHAnsi" w:cstheme="majorHAnsi"/>
      <w:b/>
      <w:bCs/>
      <w:color w:val="5F266B"/>
      <w:kern w:val="2"/>
      <w:sz w:val="32"/>
      <w:szCs w:val="22"/>
      <w:lang w:val="en-ZA" w:eastAsia="ko-KR"/>
      <w14:ligatures w14:val="standardContextual"/>
    </w:rPr>
  </w:style>
  <w:style w:type="character" w:customStyle="1" w:styleId="Heading2Char">
    <w:name w:val="Heading 2 Char"/>
    <w:basedOn w:val="DefaultParagraphFont"/>
    <w:link w:val="Heading2"/>
    <w:uiPriority w:val="9"/>
    <w:rsid w:val="0095333B"/>
    <w:rPr>
      <w:rFonts w:asciiTheme="majorHAnsi" w:hAnsiTheme="majorHAnsi" w:cstheme="majorHAnsi"/>
      <w:b/>
      <w:color w:val="58227B"/>
      <w:kern w:val="2"/>
      <w:lang w:val="en-ZA" w:eastAsia="ko-KR"/>
      <w14:ligatures w14:val="standardContextual"/>
    </w:rPr>
  </w:style>
  <w:style w:type="character" w:customStyle="1" w:styleId="Heading3Char">
    <w:name w:val="Heading 3 Char"/>
    <w:basedOn w:val="DefaultParagraphFont"/>
    <w:link w:val="Heading3"/>
    <w:uiPriority w:val="9"/>
    <w:rsid w:val="0095333B"/>
    <w:rPr>
      <w:rFonts w:asciiTheme="majorHAnsi" w:hAnsiTheme="majorHAnsi" w:cstheme="majorHAnsi"/>
      <w:b/>
      <w:i/>
      <w:iCs/>
      <w:color w:val="58227B"/>
      <w:kern w:val="2"/>
      <w:sz w:val="22"/>
      <w:szCs w:val="22"/>
      <w:lang w:val="en-ZA" w:eastAsia="ko-KR"/>
      <w14:ligatures w14:val="standardContextual"/>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character" w:customStyle="1" w:styleId="normaltextrun">
    <w:name w:val="normaltextrun"/>
    <w:basedOn w:val="DefaultParagraphFont"/>
    <w:rsid w:val="009D39C7"/>
  </w:style>
  <w:style w:type="paragraph" w:styleId="NoSpacing">
    <w:name w:val="No Spacing"/>
    <w:uiPriority w:val="1"/>
    <w:qFormat/>
    <w:rsid w:val="00A735BD"/>
    <w:pPr>
      <w:spacing w:after="0" w:line="240" w:lineRule="auto"/>
    </w:pPr>
    <w:rPr>
      <w:rFonts w:asciiTheme="minorHAnsi" w:hAnsiTheme="minorHAnsi"/>
      <w:sz w:val="22"/>
    </w:rPr>
  </w:style>
  <w:style w:type="table" w:styleId="TableGrid">
    <w:name w:val="Table Grid"/>
    <w:basedOn w:val="TableNormal"/>
    <w:rsid w:val="005F66F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637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807">
      <w:bodyDiv w:val="1"/>
      <w:marLeft w:val="0"/>
      <w:marRight w:val="0"/>
      <w:marTop w:val="0"/>
      <w:marBottom w:val="0"/>
      <w:divBdr>
        <w:top w:val="none" w:sz="0" w:space="0" w:color="auto"/>
        <w:left w:val="none" w:sz="0" w:space="0" w:color="auto"/>
        <w:bottom w:val="none" w:sz="0" w:space="0" w:color="auto"/>
        <w:right w:val="none" w:sz="0" w:space="0" w:color="auto"/>
      </w:divBdr>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815682391">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 w:id="19820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95BA836E392145BA383AA19BFC92E6" ma:contentTypeVersion="" ma:contentTypeDescription="PDMS Document Site Content Type" ma:contentTypeScope="" ma:versionID="b619b4f1dd85d8521575b174948937f4">
  <xsd:schema xmlns:xsd="http://www.w3.org/2001/XMLSchema" xmlns:xs="http://www.w3.org/2001/XMLSchema" xmlns:p="http://schemas.microsoft.com/office/2006/metadata/properties" xmlns:ns2="95AB8A92-AF70-4214-B32C-45FD364C1AB6" targetNamespace="http://schemas.microsoft.com/office/2006/metadata/properties" ma:root="true" ma:fieldsID="e93015c562552ab10b5c17bce62b4e27" ns2:_="">
    <xsd:import namespace="95AB8A92-AF70-4214-B32C-45FD364C1A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B8A92-AF70-4214-B32C-45FD364C1A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5AB8A92-AF70-4214-B32C-45FD364C1AB6" xsi:nil="true"/>
  </documentManagement>
</p:properties>
</file>

<file path=customXml/itemProps1.xml><?xml version="1.0" encoding="utf-8"?>
<ds:datastoreItem xmlns:ds="http://schemas.openxmlformats.org/officeDocument/2006/customXml" ds:itemID="{2B60411E-F07D-4D39-935B-D3D15D22CE74}">
  <ds:schemaRefs>
    <ds:schemaRef ds:uri="http://schemas.microsoft.com/sharepoint/v3/contenttype/forms"/>
  </ds:schemaRefs>
</ds:datastoreItem>
</file>

<file path=customXml/itemProps2.xml><?xml version="1.0" encoding="utf-8"?>
<ds:datastoreItem xmlns:ds="http://schemas.openxmlformats.org/officeDocument/2006/customXml" ds:itemID="{E96A0344-E5FE-4FA5-A08A-E5D210BE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B8A92-AF70-4214-B32C-45FD364C1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A0059-864B-429E-8C78-E921199D8702}">
  <ds:schemaRefs>
    <ds:schemaRef ds:uri="http://schemas.microsoft.com/office/2006/metadata/properties"/>
    <ds:schemaRef ds:uri="http://schemas.microsoft.com/office/infopath/2007/PartnerControls"/>
    <ds:schemaRef ds:uri="95AB8A92-AF70-4214-B32C-45FD364C1AB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2024 progress report on the implementation of the recommendations of the Royal Commission into Aged Care Quality and Safety</dc:title>
  <dc:subject>aged care</dc:subject>
  <dc:creator>Office of the Inspector-General of Aged Care</dc:creator>
  <cp:keywords>Office of the Inspector-General of Aged Care</cp:keywords>
  <dc:description/>
  <cp:lastPrinted>2024-05-31T08:23:00Z</cp:lastPrinted>
  <dcterms:created xsi:type="dcterms:W3CDTF">2024-07-26T02:21:00Z</dcterms:created>
  <dcterms:modified xsi:type="dcterms:W3CDTF">2024-07-26T02:33:00Z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0x010100266966F133664895A6EE3632470D45F5004995BA836E392145BA383AA19BFC92E6</vt:lpwstr>
  </property>
  <property fmtid="{D5CDD505-2E9C-101B-9397-08002B2CF9AE}" pid="3" name="MediaServiceImageTags">
    <vt:lpwstr/>
  </property>
</Properties>
</file>