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D664E" w14:textId="16D61B1F" w:rsidR="00830765" w:rsidRPr="00831204" w:rsidRDefault="00525F4F" w:rsidP="00831204">
      <w:pPr>
        <w:pStyle w:val="Heading1"/>
      </w:pPr>
      <w:r w:rsidRPr="00831204">
        <w:t>Inspector</w:t>
      </w:r>
      <w:r w:rsidR="00A32968" w:rsidRPr="00831204">
        <w:t xml:space="preserve">-General of Aged Care’s </w:t>
      </w:r>
      <w:r w:rsidR="00830765" w:rsidRPr="00831204">
        <w:t>Annual Work Plan – 2024-25</w:t>
      </w:r>
    </w:p>
    <w:p w14:paraId="60B2C946" w14:textId="6F5715F8" w:rsidR="004D05B3" w:rsidRDefault="004D05B3" w:rsidP="004D05B3">
      <w:pPr>
        <w:spacing w:line="240" w:lineRule="auto"/>
        <w:rPr>
          <w:rStyle w:val="eop"/>
          <w:rFonts w:cstheme="minorHAnsi"/>
          <w:color w:val="000000"/>
          <w:sz w:val="24"/>
          <w:shd w:val="clear" w:color="auto" w:fill="FFFFFF"/>
        </w:rPr>
      </w:pPr>
      <w:r w:rsidRPr="005E4433">
        <w:rPr>
          <w:rStyle w:val="normaltextrun"/>
          <w:rFonts w:cstheme="minorHAnsi"/>
          <w:b/>
          <w:bCs/>
          <w:i/>
          <w:iCs/>
          <w:color w:val="000000"/>
          <w:sz w:val="24"/>
          <w:shd w:val="clear" w:color="auto" w:fill="FFFFFF"/>
        </w:rPr>
        <w:t>Oversight includes calling out significant and systemic issues, recommending solutions and seeking to ensure that reports to Parliament are actioned.</w:t>
      </w:r>
    </w:p>
    <w:tbl>
      <w:tblPr>
        <w:tblStyle w:val="TableGrid"/>
        <w:tblW w:w="9639" w:type="dxa"/>
        <w:tblLook w:val="04A0" w:firstRow="1" w:lastRow="0" w:firstColumn="1" w:lastColumn="0" w:noHBand="0" w:noVBand="1"/>
      </w:tblPr>
      <w:tblGrid>
        <w:gridCol w:w="2977"/>
        <w:gridCol w:w="6662"/>
      </w:tblGrid>
      <w:tr w:rsidR="005C1714" w:rsidRPr="00055F8C" w14:paraId="7CBFD751" w14:textId="77777777" w:rsidTr="00FC0470">
        <w:tc>
          <w:tcPr>
            <w:tcW w:w="9639" w:type="dxa"/>
            <w:gridSpan w:val="2"/>
            <w:tcBorders>
              <w:top w:val="nil"/>
              <w:left w:val="nil"/>
              <w:bottom w:val="nil"/>
              <w:right w:val="nil"/>
            </w:tcBorders>
          </w:tcPr>
          <w:p w14:paraId="363079DD" w14:textId="75E801D5" w:rsidR="005C1714" w:rsidRPr="00831204" w:rsidRDefault="00FC0470" w:rsidP="00831204">
            <w:pPr>
              <w:pStyle w:val="Heading2"/>
              <w:rPr>
                <w:rStyle w:val="eop"/>
              </w:rPr>
            </w:pPr>
            <w:r w:rsidRPr="00831204">
              <w:t>Annual Work Plan</w:t>
            </w:r>
          </w:p>
        </w:tc>
      </w:tr>
      <w:tr w:rsidR="004D5DDA" w:rsidRPr="00055F8C" w14:paraId="3F6730F8" w14:textId="77777777" w:rsidTr="00F823AC">
        <w:trPr>
          <w:trHeight w:val="1219"/>
        </w:trPr>
        <w:tc>
          <w:tcPr>
            <w:tcW w:w="9639" w:type="dxa"/>
            <w:gridSpan w:val="2"/>
            <w:tcBorders>
              <w:top w:val="nil"/>
              <w:left w:val="nil"/>
              <w:bottom w:val="single" w:sz="12" w:space="0" w:color="59237B"/>
              <w:right w:val="nil"/>
            </w:tcBorders>
          </w:tcPr>
          <w:p w14:paraId="57890A91" w14:textId="29CB8BF5" w:rsidR="004D5DDA" w:rsidRPr="00900D6D" w:rsidRDefault="005C1714" w:rsidP="00B35ADB">
            <w:pPr>
              <w:autoSpaceDE w:val="0"/>
              <w:autoSpaceDN w:val="0"/>
              <w:adjustRightInd w:val="0"/>
              <w:spacing w:before="120" w:after="120"/>
              <w:rPr>
                <w:rStyle w:val="eop"/>
                <w:szCs w:val="22"/>
              </w:rPr>
            </w:pPr>
            <w:r w:rsidRPr="00B1249A">
              <w:rPr>
                <w:rStyle w:val="eop"/>
                <w:rFonts w:cstheme="minorHAnsi"/>
                <w:szCs w:val="22"/>
                <w:shd w:val="clear" w:color="auto" w:fill="FFFFFF"/>
              </w:rPr>
              <w:t xml:space="preserve">The Inspector-General </w:t>
            </w:r>
            <w:r w:rsidRPr="00B1249A">
              <w:rPr>
                <w:rFonts w:cstheme="minorHAnsi"/>
                <w:szCs w:val="22"/>
              </w:rPr>
              <w:t xml:space="preserve">will set out key priorities for the financial year through </w:t>
            </w:r>
            <w:r>
              <w:rPr>
                <w:rFonts w:cstheme="minorHAnsi"/>
                <w:szCs w:val="22"/>
              </w:rPr>
              <w:t>the publication</w:t>
            </w:r>
            <w:r w:rsidRPr="00B1249A">
              <w:rPr>
                <w:rFonts w:cstheme="minorHAnsi"/>
                <w:szCs w:val="22"/>
              </w:rPr>
              <w:t xml:space="preserve"> of an Annual Work Plan on the Office of the Inspector-General of Aged Care’s (OIGAC) website.</w:t>
            </w:r>
            <w:r>
              <w:rPr>
                <w:rFonts w:cstheme="minorHAnsi"/>
                <w:szCs w:val="22"/>
              </w:rPr>
              <w:t xml:space="preserve"> A variation to the Annual Work Plan may be made </w:t>
            </w:r>
            <w:r w:rsidR="00F823AC">
              <w:rPr>
                <w:rFonts w:cstheme="minorHAnsi"/>
                <w:szCs w:val="22"/>
              </w:rPr>
              <w:t>during</w:t>
            </w:r>
            <w:r w:rsidR="00D20ACF">
              <w:rPr>
                <w:rFonts w:cstheme="minorHAnsi"/>
                <w:szCs w:val="22"/>
              </w:rPr>
              <w:t xml:space="preserve"> the </w:t>
            </w:r>
            <w:r w:rsidR="00817CAF">
              <w:rPr>
                <w:rFonts w:cstheme="minorHAnsi"/>
                <w:szCs w:val="22"/>
              </w:rPr>
              <w:t xml:space="preserve">financial year </w:t>
            </w:r>
            <w:r>
              <w:rPr>
                <w:rFonts w:cstheme="minorHAnsi"/>
                <w:szCs w:val="22"/>
              </w:rPr>
              <w:t>at the Inspector-General’s discretion.</w:t>
            </w:r>
          </w:p>
        </w:tc>
      </w:tr>
      <w:tr w:rsidR="00830765" w:rsidRPr="00055F8C" w14:paraId="3BB40EE5" w14:textId="77777777" w:rsidTr="00FC0470">
        <w:tc>
          <w:tcPr>
            <w:tcW w:w="2977" w:type="dxa"/>
            <w:tcBorders>
              <w:top w:val="single" w:sz="12" w:space="0" w:color="59237B"/>
              <w:left w:val="single" w:sz="12" w:space="0" w:color="59237B"/>
              <w:bottom w:val="single" w:sz="12" w:space="0" w:color="59237B"/>
              <w:right w:val="nil"/>
            </w:tcBorders>
          </w:tcPr>
          <w:p w14:paraId="122E188F" w14:textId="6A81E64D" w:rsidR="00830765" w:rsidRPr="00D20ACF" w:rsidRDefault="00830765" w:rsidP="00B35ADB">
            <w:pPr>
              <w:autoSpaceDE w:val="0"/>
              <w:autoSpaceDN w:val="0"/>
              <w:adjustRightInd w:val="0"/>
              <w:spacing w:before="120" w:after="120"/>
              <w:rPr>
                <w:rFonts w:cstheme="minorHAnsi"/>
                <w:shd w:val="clear" w:color="auto" w:fill="FFFFFF"/>
              </w:rPr>
            </w:pPr>
            <w:r w:rsidRPr="00900D6D">
              <w:rPr>
                <w:rStyle w:val="eop"/>
                <w:shd w:val="clear" w:color="auto" w:fill="FFFFFF"/>
              </w:rPr>
              <w:t>A</w:t>
            </w:r>
            <w:r w:rsidRPr="00900D6D">
              <w:rPr>
                <w:rStyle w:val="eop"/>
                <w:rFonts w:cstheme="minorHAnsi"/>
                <w:shd w:val="clear" w:color="auto" w:fill="FFFFFF"/>
              </w:rPr>
              <w:t>nnual</w:t>
            </w:r>
            <w:r w:rsidR="00D20ACF">
              <w:rPr>
                <w:rStyle w:val="eop"/>
                <w:rFonts w:cstheme="minorHAnsi"/>
                <w:shd w:val="clear" w:color="auto" w:fill="FFFFFF"/>
              </w:rPr>
              <w:t xml:space="preserve"> Work Plan – </w:t>
            </w:r>
            <w:r w:rsidRPr="00900D6D">
              <w:rPr>
                <w:rStyle w:val="eop"/>
                <w:shd w:val="clear" w:color="auto" w:fill="FFFFFF"/>
              </w:rPr>
              <w:t>planning processes</w:t>
            </w:r>
          </w:p>
        </w:tc>
        <w:tc>
          <w:tcPr>
            <w:tcW w:w="6662" w:type="dxa"/>
            <w:tcBorders>
              <w:top w:val="single" w:sz="12" w:space="0" w:color="59237B"/>
              <w:left w:val="nil"/>
              <w:bottom w:val="single" w:sz="12" w:space="0" w:color="59237B"/>
              <w:right w:val="single" w:sz="12" w:space="0" w:color="59237B"/>
            </w:tcBorders>
          </w:tcPr>
          <w:p w14:paraId="0D70CEA4" w14:textId="25516BFB" w:rsidR="00830765" w:rsidRPr="00055F8C" w:rsidRDefault="00830765" w:rsidP="00B35ADB">
            <w:pPr>
              <w:autoSpaceDE w:val="0"/>
              <w:autoSpaceDN w:val="0"/>
              <w:adjustRightInd w:val="0"/>
              <w:spacing w:before="120" w:after="120"/>
              <w:rPr>
                <w:rFonts w:cstheme="minorHAnsi"/>
                <w:b/>
                <w:bCs/>
                <w:szCs w:val="22"/>
              </w:rPr>
            </w:pPr>
            <w:r w:rsidRPr="00900D6D">
              <w:rPr>
                <w:rStyle w:val="eop"/>
                <w:szCs w:val="22"/>
              </w:rPr>
              <w:t xml:space="preserve">Ongoing </w:t>
            </w:r>
            <w:r w:rsidR="00B70E2D">
              <w:rPr>
                <w:rStyle w:val="eop"/>
                <w:szCs w:val="22"/>
              </w:rPr>
              <w:t>r</w:t>
            </w:r>
            <w:r w:rsidR="00B70E2D">
              <w:rPr>
                <w:rStyle w:val="eop"/>
              </w:rPr>
              <w:t>efinement</w:t>
            </w:r>
            <w:r w:rsidRPr="00900D6D">
              <w:rPr>
                <w:rStyle w:val="eop"/>
                <w:szCs w:val="22"/>
              </w:rPr>
              <w:t xml:space="preserve"> and </w:t>
            </w:r>
            <w:r w:rsidR="007C7D06">
              <w:rPr>
                <w:rStyle w:val="eop"/>
                <w:szCs w:val="22"/>
              </w:rPr>
              <w:t xml:space="preserve">implementation </w:t>
            </w:r>
            <w:r w:rsidRPr="00900D6D">
              <w:rPr>
                <w:rStyle w:val="eop"/>
                <w:szCs w:val="22"/>
              </w:rPr>
              <w:t>of Annual Work Plan planning p</w:t>
            </w:r>
            <w:r w:rsidRPr="00900D6D">
              <w:rPr>
                <w:rStyle w:val="eop"/>
                <w:rFonts w:cstheme="minorHAnsi"/>
                <w:szCs w:val="22"/>
              </w:rPr>
              <w:t>rocesses and tools including environmental scan</w:t>
            </w:r>
            <w:r w:rsidR="00A05BBC">
              <w:rPr>
                <w:rStyle w:val="eop"/>
                <w:rFonts w:cstheme="minorHAnsi"/>
                <w:szCs w:val="22"/>
              </w:rPr>
              <w:t>n</w:t>
            </w:r>
            <w:r w:rsidR="00A05BBC">
              <w:rPr>
                <w:rStyle w:val="eop"/>
              </w:rPr>
              <w:t>ing activities</w:t>
            </w:r>
            <w:r w:rsidRPr="00900D6D">
              <w:rPr>
                <w:rStyle w:val="eop"/>
                <w:rFonts w:cstheme="minorHAnsi"/>
                <w:szCs w:val="22"/>
              </w:rPr>
              <w:t>, consultation mechanisms and prioritisation assessment tool</w:t>
            </w:r>
            <w:r w:rsidR="0048098D">
              <w:rPr>
                <w:rStyle w:val="eop"/>
                <w:rFonts w:cstheme="minorHAnsi"/>
                <w:szCs w:val="22"/>
              </w:rPr>
              <w:t>s</w:t>
            </w:r>
            <w:r w:rsidRPr="00900D6D">
              <w:rPr>
                <w:rStyle w:val="eop"/>
                <w:rFonts w:cstheme="minorHAnsi"/>
                <w:szCs w:val="22"/>
              </w:rPr>
              <w:t xml:space="preserve"> </w:t>
            </w:r>
          </w:p>
        </w:tc>
      </w:tr>
      <w:tr w:rsidR="00830765" w:rsidRPr="00055F8C" w14:paraId="6297868D" w14:textId="77777777" w:rsidTr="00FC0470">
        <w:tc>
          <w:tcPr>
            <w:tcW w:w="2977" w:type="dxa"/>
            <w:tcBorders>
              <w:top w:val="single" w:sz="12" w:space="0" w:color="59237B"/>
              <w:left w:val="single" w:sz="12" w:space="0" w:color="59237B"/>
              <w:bottom w:val="single" w:sz="12" w:space="0" w:color="59237B"/>
              <w:right w:val="nil"/>
            </w:tcBorders>
          </w:tcPr>
          <w:p w14:paraId="05AC2C34" w14:textId="4A28D60A" w:rsidR="00830765" w:rsidRPr="00900D6D" w:rsidRDefault="00830765" w:rsidP="00B35ADB">
            <w:pPr>
              <w:autoSpaceDE w:val="0"/>
              <w:autoSpaceDN w:val="0"/>
              <w:adjustRightInd w:val="0"/>
              <w:spacing w:before="120" w:after="120"/>
              <w:rPr>
                <w:rStyle w:val="eop"/>
                <w:shd w:val="clear" w:color="auto" w:fill="FFFFFF"/>
              </w:rPr>
            </w:pPr>
            <w:r w:rsidRPr="00055F8C">
              <w:rPr>
                <w:rFonts w:cstheme="minorHAnsi"/>
                <w:szCs w:val="22"/>
              </w:rPr>
              <w:t>Consultation</w:t>
            </w:r>
          </w:p>
        </w:tc>
        <w:tc>
          <w:tcPr>
            <w:tcW w:w="6662" w:type="dxa"/>
            <w:tcBorders>
              <w:top w:val="single" w:sz="12" w:space="0" w:color="59237B"/>
              <w:left w:val="nil"/>
              <w:bottom w:val="single" w:sz="12" w:space="0" w:color="59237B"/>
              <w:right w:val="single" w:sz="12" w:space="0" w:color="59237B"/>
            </w:tcBorders>
          </w:tcPr>
          <w:p w14:paraId="39288588" w14:textId="06616B98" w:rsidR="00830765" w:rsidRPr="00900D6D" w:rsidRDefault="0048098D" w:rsidP="00B35ADB">
            <w:pPr>
              <w:autoSpaceDE w:val="0"/>
              <w:autoSpaceDN w:val="0"/>
              <w:adjustRightInd w:val="0"/>
              <w:spacing w:before="120" w:after="120"/>
              <w:rPr>
                <w:rStyle w:val="eop"/>
                <w:szCs w:val="22"/>
              </w:rPr>
            </w:pPr>
            <w:r>
              <w:rPr>
                <w:rFonts w:cstheme="minorHAnsi"/>
                <w:szCs w:val="22"/>
              </w:rPr>
              <w:t>O</w:t>
            </w:r>
            <w:r>
              <w:t>ngoing c</w:t>
            </w:r>
            <w:r w:rsidR="00B80ADF">
              <w:rPr>
                <w:rFonts w:cstheme="minorHAnsi"/>
                <w:szCs w:val="22"/>
              </w:rPr>
              <w:t xml:space="preserve">onsideration </w:t>
            </w:r>
            <w:r w:rsidR="00DC0B81">
              <w:rPr>
                <w:rFonts w:cstheme="minorHAnsi"/>
                <w:szCs w:val="22"/>
              </w:rPr>
              <w:t>and assessment</w:t>
            </w:r>
            <w:r w:rsidR="00830765">
              <w:rPr>
                <w:rFonts w:cstheme="minorHAnsi"/>
                <w:szCs w:val="22"/>
              </w:rPr>
              <w:t xml:space="preserve"> of </w:t>
            </w:r>
            <w:r w:rsidR="00907C48">
              <w:rPr>
                <w:rFonts w:cstheme="minorHAnsi"/>
                <w:szCs w:val="22"/>
              </w:rPr>
              <w:t xml:space="preserve">stakeholder feedback and </w:t>
            </w:r>
            <w:r w:rsidR="00830765">
              <w:rPr>
                <w:rFonts w:cstheme="minorHAnsi"/>
                <w:szCs w:val="22"/>
              </w:rPr>
              <w:t>submissions received</w:t>
            </w:r>
            <w:r w:rsidR="001E0313">
              <w:rPr>
                <w:rFonts w:cstheme="minorHAnsi"/>
                <w:szCs w:val="22"/>
              </w:rPr>
              <w:t xml:space="preserve"> </w:t>
            </w:r>
            <w:r w:rsidR="00830765">
              <w:rPr>
                <w:rFonts w:cstheme="minorHAnsi"/>
                <w:szCs w:val="22"/>
              </w:rPr>
              <w:t xml:space="preserve">to </w:t>
            </w:r>
            <w:r w:rsidR="0010129E">
              <w:rPr>
                <w:rFonts w:cstheme="minorHAnsi"/>
                <w:szCs w:val="22"/>
              </w:rPr>
              <w:t>inform</w:t>
            </w:r>
            <w:r w:rsidR="00DC0B81">
              <w:rPr>
                <w:rFonts w:cstheme="minorHAnsi"/>
                <w:szCs w:val="22"/>
              </w:rPr>
              <w:t xml:space="preserve"> </w:t>
            </w:r>
            <w:r w:rsidR="00907C48">
              <w:rPr>
                <w:rFonts w:cstheme="minorHAnsi"/>
                <w:szCs w:val="22"/>
              </w:rPr>
              <w:t xml:space="preserve">future </w:t>
            </w:r>
            <w:r w:rsidR="00830765">
              <w:rPr>
                <w:rFonts w:cstheme="minorHAnsi"/>
                <w:szCs w:val="22"/>
              </w:rPr>
              <w:t>priorities for 2024-25</w:t>
            </w:r>
            <w:r w:rsidR="00E9597B">
              <w:rPr>
                <w:rFonts w:cstheme="minorHAnsi"/>
                <w:szCs w:val="22"/>
              </w:rPr>
              <w:t xml:space="preserve"> and </w:t>
            </w:r>
            <w:r w:rsidR="00F823AC">
              <w:rPr>
                <w:rFonts w:cstheme="minorHAnsi"/>
                <w:szCs w:val="22"/>
              </w:rPr>
              <w:t>beyond</w:t>
            </w:r>
          </w:p>
        </w:tc>
      </w:tr>
      <w:tr w:rsidR="00830765" w:rsidRPr="00A526DA" w14:paraId="7524DEA8" w14:textId="77777777" w:rsidTr="00A600EA">
        <w:tc>
          <w:tcPr>
            <w:tcW w:w="2977" w:type="dxa"/>
            <w:tcBorders>
              <w:top w:val="nil"/>
              <w:left w:val="nil"/>
              <w:bottom w:val="nil"/>
              <w:right w:val="nil"/>
            </w:tcBorders>
          </w:tcPr>
          <w:p w14:paraId="2F1B3717" w14:textId="786B5582" w:rsidR="001E4F78" w:rsidRPr="001E4F78" w:rsidRDefault="00830765" w:rsidP="00831204">
            <w:pPr>
              <w:pStyle w:val="Heading2"/>
              <w:spacing w:before="360"/>
            </w:pPr>
            <w:r w:rsidRPr="00A526DA">
              <w:t>Monitoring</w:t>
            </w:r>
          </w:p>
        </w:tc>
        <w:tc>
          <w:tcPr>
            <w:tcW w:w="6662" w:type="dxa"/>
            <w:tcBorders>
              <w:top w:val="nil"/>
              <w:left w:val="nil"/>
              <w:bottom w:val="nil"/>
              <w:right w:val="nil"/>
            </w:tcBorders>
          </w:tcPr>
          <w:p w14:paraId="421D3271" w14:textId="77777777" w:rsidR="00830765" w:rsidRPr="00A526DA" w:rsidRDefault="00830765" w:rsidP="00B35ADB">
            <w:pPr>
              <w:autoSpaceDE w:val="0"/>
              <w:autoSpaceDN w:val="0"/>
              <w:adjustRightInd w:val="0"/>
              <w:rPr>
                <w:rFonts w:cstheme="minorHAnsi"/>
                <w:sz w:val="20"/>
                <w:szCs w:val="20"/>
              </w:rPr>
            </w:pPr>
          </w:p>
        </w:tc>
      </w:tr>
      <w:tr w:rsidR="00830765" w:rsidRPr="00A526DA" w14:paraId="7501E768" w14:textId="77777777" w:rsidTr="00F823AC">
        <w:trPr>
          <w:trHeight w:val="1727"/>
        </w:trPr>
        <w:tc>
          <w:tcPr>
            <w:tcW w:w="9639" w:type="dxa"/>
            <w:gridSpan w:val="2"/>
            <w:tcBorders>
              <w:top w:val="nil"/>
              <w:left w:val="nil"/>
              <w:bottom w:val="nil"/>
              <w:right w:val="nil"/>
            </w:tcBorders>
          </w:tcPr>
          <w:p w14:paraId="227EC96C" w14:textId="1F3621CA" w:rsidR="00830765" w:rsidRPr="00BB6A48" w:rsidRDefault="00830765" w:rsidP="00B35ADB">
            <w:pPr>
              <w:autoSpaceDE w:val="0"/>
              <w:autoSpaceDN w:val="0"/>
              <w:adjustRightInd w:val="0"/>
              <w:spacing w:before="120" w:after="120"/>
              <w:rPr>
                <w:rFonts w:cstheme="minorHAnsi"/>
                <w:szCs w:val="22"/>
              </w:rPr>
            </w:pPr>
            <w:r w:rsidRPr="00BB6A48">
              <w:rPr>
                <w:rStyle w:val="normaltextrun"/>
                <w:rFonts w:cstheme="minorHAnsi"/>
                <w:szCs w:val="22"/>
                <w:lang w:val="en-GB"/>
              </w:rPr>
              <w:t>The Inspector-General’s monitoring program is intended to comprise a range of activities which w</w:t>
            </w:r>
            <w:r w:rsidRPr="00BB6A48">
              <w:rPr>
                <w:rStyle w:val="normaltextrun"/>
                <w:szCs w:val="22"/>
                <w:lang w:val="en-GB"/>
              </w:rPr>
              <w:t xml:space="preserve">ill </w:t>
            </w:r>
            <w:r w:rsidRPr="00BB6A48">
              <w:rPr>
                <w:rStyle w:val="normaltextrun"/>
                <w:rFonts w:cstheme="minorHAnsi"/>
                <w:szCs w:val="22"/>
                <w:lang w:val="en-GB"/>
              </w:rPr>
              <w:t>collectively provide a comprehensive picture of the aged care system. It will be informed by data and information drawn from across the aged care sector, the media and other government bodies. Through its monitoring activities the OIGAC will, over time, establish a broad intelligence base to assist with identifying risks, emerging trends, and systemic issues across the aged care system</w:t>
            </w:r>
            <w:r w:rsidR="00F823AC">
              <w:rPr>
                <w:rStyle w:val="normaltextrun"/>
                <w:rFonts w:cstheme="minorHAnsi"/>
                <w:szCs w:val="22"/>
                <w:lang w:val="en-GB"/>
              </w:rPr>
              <w:t>.</w:t>
            </w:r>
            <w:r w:rsidR="00F823AC">
              <w:rPr>
                <w:rStyle w:val="normaltextrun"/>
                <w:lang w:val="en-GB"/>
              </w:rPr>
              <w:t xml:space="preserve"> </w:t>
            </w:r>
          </w:p>
        </w:tc>
      </w:tr>
      <w:tr w:rsidR="00830765" w:rsidRPr="00A526DA" w14:paraId="12137117" w14:textId="77777777" w:rsidTr="00B35ADB">
        <w:trPr>
          <w:trHeight w:val="212"/>
        </w:trPr>
        <w:tc>
          <w:tcPr>
            <w:tcW w:w="2977" w:type="dxa"/>
            <w:tcBorders>
              <w:top w:val="single" w:sz="12" w:space="0" w:color="59237B"/>
              <w:left w:val="single" w:sz="12" w:space="0" w:color="59237B"/>
              <w:bottom w:val="nil"/>
              <w:right w:val="nil"/>
            </w:tcBorders>
          </w:tcPr>
          <w:p w14:paraId="6517834E" w14:textId="77777777" w:rsidR="00830765" w:rsidRPr="00A526DA" w:rsidRDefault="00830765" w:rsidP="00B35ADB">
            <w:pPr>
              <w:autoSpaceDE w:val="0"/>
              <w:autoSpaceDN w:val="0"/>
              <w:adjustRightInd w:val="0"/>
              <w:spacing w:before="120" w:after="120"/>
              <w:rPr>
                <w:rFonts w:cstheme="minorHAnsi"/>
                <w:szCs w:val="22"/>
              </w:rPr>
            </w:pPr>
            <w:r>
              <w:rPr>
                <w:rFonts w:cstheme="minorHAnsi"/>
                <w:szCs w:val="22"/>
              </w:rPr>
              <w:t xml:space="preserve">Monitoring </w:t>
            </w:r>
            <w:r w:rsidRPr="00A526DA">
              <w:rPr>
                <w:rFonts w:cstheme="minorHAnsi"/>
                <w:szCs w:val="22"/>
              </w:rPr>
              <w:t>Strategy</w:t>
            </w:r>
          </w:p>
        </w:tc>
        <w:tc>
          <w:tcPr>
            <w:tcW w:w="6662" w:type="dxa"/>
            <w:tcBorders>
              <w:top w:val="single" w:sz="12" w:space="0" w:color="59237B"/>
              <w:left w:val="nil"/>
              <w:bottom w:val="nil"/>
              <w:right w:val="single" w:sz="12" w:space="0" w:color="59237B"/>
            </w:tcBorders>
          </w:tcPr>
          <w:p w14:paraId="5215315C" w14:textId="322EC57F" w:rsidR="00830765" w:rsidRPr="00A526DA" w:rsidRDefault="00830765" w:rsidP="00B35ADB">
            <w:pPr>
              <w:autoSpaceDE w:val="0"/>
              <w:autoSpaceDN w:val="0"/>
              <w:adjustRightInd w:val="0"/>
              <w:spacing w:before="120" w:after="120"/>
              <w:rPr>
                <w:rFonts w:cstheme="minorHAnsi"/>
                <w:szCs w:val="22"/>
              </w:rPr>
            </w:pPr>
            <w:r w:rsidRPr="00A526DA">
              <w:rPr>
                <w:rFonts w:cstheme="minorHAnsi"/>
                <w:szCs w:val="22"/>
              </w:rPr>
              <w:t>Finalise and publish the Office of the Inspector-General of Aged Care’s Monitoring Strategy</w:t>
            </w:r>
            <w:r>
              <w:rPr>
                <w:rFonts w:cstheme="minorHAnsi"/>
                <w:szCs w:val="22"/>
              </w:rPr>
              <w:t xml:space="preserve"> and implementation timeline</w:t>
            </w:r>
          </w:p>
        </w:tc>
      </w:tr>
      <w:tr w:rsidR="00830765" w:rsidRPr="00A526DA" w14:paraId="4CBAF701" w14:textId="77777777" w:rsidTr="00B35ADB">
        <w:trPr>
          <w:trHeight w:val="212"/>
        </w:trPr>
        <w:tc>
          <w:tcPr>
            <w:tcW w:w="2977" w:type="dxa"/>
            <w:tcBorders>
              <w:top w:val="single" w:sz="12" w:space="0" w:color="59237B"/>
              <w:left w:val="single" w:sz="12" w:space="0" w:color="59237B"/>
              <w:bottom w:val="nil"/>
              <w:right w:val="nil"/>
            </w:tcBorders>
          </w:tcPr>
          <w:p w14:paraId="0EE62A98" w14:textId="77777777" w:rsidR="00830765" w:rsidRDefault="00830765" w:rsidP="00B35ADB">
            <w:pPr>
              <w:autoSpaceDE w:val="0"/>
              <w:autoSpaceDN w:val="0"/>
              <w:adjustRightInd w:val="0"/>
              <w:spacing w:before="120" w:after="120"/>
              <w:rPr>
                <w:rFonts w:cstheme="minorHAnsi"/>
                <w:szCs w:val="22"/>
              </w:rPr>
            </w:pPr>
            <w:r>
              <w:rPr>
                <w:rFonts w:cstheme="minorHAnsi"/>
                <w:szCs w:val="22"/>
              </w:rPr>
              <w:t xml:space="preserve">Performance monitoring </w:t>
            </w:r>
          </w:p>
        </w:tc>
        <w:tc>
          <w:tcPr>
            <w:tcW w:w="6662" w:type="dxa"/>
            <w:tcBorders>
              <w:top w:val="single" w:sz="12" w:space="0" w:color="59237B"/>
              <w:left w:val="nil"/>
              <w:bottom w:val="nil"/>
              <w:right w:val="single" w:sz="12" w:space="0" w:color="59237B"/>
            </w:tcBorders>
          </w:tcPr>
          <w:p w14:paraId="2EFCB547" w14:textId="3379FE3A" w:rsidR="00830765" w:rsidRDefault="008D68CD" w:rsidP="00B35ADB">
            <w:pPr>
              <w:autoSpaceDE w:val="0"/>
              <w:autoSpaceDN w:val="0"/>
              <w:adjustRightInd w:val="0"/>
              <w:spacing w:before="120" w:after="120"/>
              <w:rPr>
                <w:rFonts w:cstheme="minorHAnsi"/>
                <w:szCs w:val="22"/>
              </w:rPr>
            </w:pPr>
            <w:r>
              <w:rPr>
                <w:rFonts w:cstheme="minorHAnsi"/>
                <w:szCs w:val="22"/>
              </w:rPr>
              <w:t xml:space="preserve">Negotiation </w:t>
            </w:r>
            <w:r w:rsidR="00F823AC">
              <w:rPr>
                <w:rFonts w:cstheme="minorHAnsi"/>
                <w:szCs w:val="22"/>
              </w:rPr>
              <w:t>of</w:t>
            </w:r>
            <w:r w:rsidR="00830765">
              <w:rPr>
                <w:rFonts w:cstheme="minorHAnsi"/>
                <w:szCs w:val="22"/>
              </w:rPr>
              <w:t xml:space="preserve"> Memorandums of Understanding to support data sharing and commencement of ongoing</w:t>
            </w:r>
            <w:r w:rsidR="00725E05">
              <w:rPr>
                <w:rFonts w:cstheme="minorHAnsi"/>
                <w:szCs w:val="22"/>
              </w:rPr>
              <w:t xml:space="preserve"> performance</w:t>
            </w:r>
            <w:r w:rsidR="00830765">
              <w:rPr>
                <w:rFonts w:cstheme="minorHAnsi"/>
                <w:szCs w:val="22"/>
              </w:rPr>
              <w:t xml:space="preserve"> monitoring with:</w:t>
            </w:r>
          </w:p>
          <w:p w14:paraId="2FC33724" w14:textId="77777777" w:rsidR="00830765" w:rsidRDefault="00830765" w:rsidP="00830765">
            <w:pPr>
              <w:pStyle w:val="ListParagraph"/>
              <w:numPr>
                <w:ilvl w:val="0"/>
                <w:numId w:val="1"/>
              </w:numPr>
              <w:autoSpaceDE w:val="0"/>
              <w:autoSpaceDN w:val="0"/>
              <w:adjustRightInd w:val="0"/>
              <w:spacing w:before="120" w:after="120"/>
              <w:rPr>
                <w:rFonts w:cstheme="minorHAnsi"/>
                <w:szCs w:val="22"/>
              </w:rPr>
            </w:pPr>
            <w:r>
              <w:rPr>
                <w:rFonts w:cstheme="minorHAnsi"/>
                <w:szCs w:val="22"/>
              </w:rPr>
              <w:t>The Department of Health and Aged Care</w:t>
            </w:r>
          </w:p>
          <w:p w14:paraId="6F272B74" w14:textId="77777777" w:rsidR="00830765" w:rsidRPr="00232256" w:rsidRDefault="00830765" w:rsidP="00830765">
            <w:pPr>
              <w:pStyle w:val="ListParagraph"/>
              <w:numPr>
                <w:ilvl w:val="0"/>
                <w:numId w:val="1"/>
              </w:numPr>
              <w:autoSpaceDE w:val="0"/>
              <w:autoSpaceDN w:val="0"/>
              <w:adjustRightInd w:val="0"/>
              <w:spacing w:before="120" w:after="120"/>
              <w:rPr>
                <w:rFonts w:cstheme="minorHAnsi"/>
                <w:szCs w:val="22"/>
              </w:rPr>
            </w:pPr>
            <w:r>
              <w:t>Independent Health and Aged Care Pricing Authority</w:t>
            </w:r>
          </w:p>
        </w:tc>
      </w:tr>
      <w:tr w:rsidR="00830765" w:rsidRPr="00A526DA" w14:paraId="518C303A" w14:textId="77777777" w:rsidTr="00B35ADB">
        <w:trPr>
          <w:trHeight w:val="212"/>
        </w:trPr>
        <w:tc>
          <w:tcPr>
            <w:tcW w:w="2977" w:type="dxa"/>
            <w:tcBorders>
              <w:top w:val="single" w:sz="12" w:space="0" w:color="59237B"/>
              <w:left w:val="single" w:sz="12" w:space="0" w:color="59237B"/>
              <w:bottom w:val="nil"/>
              <w:right w:val="nil"/>
            </w:tcBorders>
          </w:tcPr>
          <w:p w14:paraId="3BA2B090" w14:textId="77777777" w:rsidR="00830765" w:rsidRPr="00A526DA" w:rsidRDefault="00830765" w:rsidP="00B35ADB">
            <w:pPr>
              <w:autoSpaceDE w:val="0"/>
              <w:autoSpaceDN w:val="0"/>
              <w:adjustRightInd w:val="0"/>
              <w:spacing w:before="120" w:after="120"/>
              <w:rPr>
                <w:rFonts w:cstheme="minorHAnsi"/>
                <w:szCs w:val="22"/>
              </w:rPr>
            </w:pPr>
            <w:r w:rsidRPr="00A526DA">
              <w:rPr>
                <w:rFonts w:cstheme="minorHAnsi"/>
                <w:szCs w:val="22"/>
              </w:rPr>
              <w:t>Aged Care Quality and Safety Commission</w:t>
            </w:r>
          </w:p>
        </w:tc>
        <w:tc>
          <w:tcPr>
            <w:tcW w:w="6662" w:type="dxa"/>
            <w:tcBorders>
              <w:top w:val="single" w:sz="12" w:space="0" w:color="59237B"/>
              <w:left w:val="nil"/>
              <w:bottom w:val="nil"/>
              <w:right w:val="single" w:sz="12" w:space="0" w:color="59237B"/>
            </w:tcBorders>
          </w:tcPr>
          <w:p w14:paraId="6B5C5DED" w14:textId="77777777" w:rsidR="00830765" w:rsidRPr="00A526DA" w:rsidRDefault="00830765" w:rsidP="00B35ADB">
            <w:pPr>
              <w:autoSpaceDE w:val="0"/>
              <w:autoSpaceDN w:val="0"/>
              <w:adjustRightInd w:val="0"/>
              <w:spacing w:before="120" w:after="120"/>
              <w:rPr>
                <w:rFonts w:cstheme="minorHAnsi"/>
                <w:szCs w:val="22"/>
              </w:rPr>
            </w:pPr>
            <w:r>
              <w:rPr>
                <w:rFonts w:cstheme="minorHAnsi"/>
                <w:szCs w:val="22"/>
              </w:rPr>
              <w:t>U</w:t>
            </w:r>
            <w:r>
              <w:t>ndertake o</w:t>
            </w:r>
            <w:r w:rsidRPr="00A526DA">
              <w:rPr>
                <w:rFonts w:cstheme="minorHAnsi"/>
                <w:szCs w:val="22"/>
              </w:rPr>
              <w:t xml:space="preserve">ngoing monitoring </w:t>
            </w:r>
            <w:r>
              <w:rPr>
                <w:rFonts w:cstheme="minorHAnsi"/>
                <w:szCs w:val="22"/>
              </w:rPr>
              <w:t xml:space="preserve">of </w:t>
            </w:r>
            <w:r w:rsidRPr="00A526DA">
              <w:rPr>
                <w:rFonts w:cstheme="minorHAnsi"/>
                <w:szCs w:val="22"/>
              </w:rPr>
              <w:t>the performance of the Aged Care Quality and Safety Commission through receipt of quarterly data</w:t>
            </w:r>
          </w:p>
        </w:tc>
      </w:tr>
      <w:tr w:rsidR="00830765" w:rsidRPr="00A526DA" w14:paraId="269F4AAC" w14:textId="77777777" w:rsidTr="00B35ADB">
        <w:trPr>
          <w:trHeight w:val="212"/>
        </w:trPr>
        <w:tc>
          <w:tcPr>
            <w:tcW w:w="2977" w:type="dxa"/>
            <w:tcBorders>
              <w:top w:val="single" w:sz="12" w:space="0" w:color="59237B"/>
              <w:left w:val="single" w:sz="12" w:space="0" w:color="59237B"/>
              <w:bottom w:val="single" w:sz="12" w:space="0" w:color="59237B"/>
              <w:right w:val="nil"/>
            </w:tcBorders>
          </w:tcPr>
          <w:p w14:paraId="0A2306E7" w14:textId="77777777" w:rsidR="00830765" w:rsidRPr="00A526DA" w:rsidRDefault="00830765" w:rsidP="00B35ADB">
            <w:pPr>
              <w:spacing w:before="120" w:after="120"/>
              <w:rPr>
                <w:rFonts w:cstheme="minorHAnsi"/>
                <w:szCs w:val="22"/>
              </w:rPr>
            </w:pPr>
            <w:r>
              <w:rPr>
                <w:rFonts w:cstheme="minorHAnsi"/>
                <w:szCs w:val="22"/>
              </w:rPr>
              <w:t xml:space="preserve">Operation of aged care </w:t>
            </w:r>
            <w:r w:rsidRPr="00A526DA">
              <w:rPr>
                <w:rFonts w:cstheme="minorHAnsi"/>
                <w:szCs w:val="22"/>
              </w:rPr>
              <w:t>Complaints Management Frameworks</w:t>
            </w:r>
          </w:p>
        </w:tc>
        <w:tc>
          <w:tcPr>
            <w:tcW w:w="6662" w:type="dxa"/>
            <w:tcBorders>
              <w:top w:val="single" w:sz="12" w:space="0" w:color="59237B"/>
              <w:left w:val="nil"/>
              <w:bottom w:val="single" w:sz="12" w:space="0" w:color="59237B"/>
              <w:right w:val="single" w:sz="12" w:space="0" w:color="59237B"/>
            </w:tcBorders>
          </w:tcPr>
          <w:p w14:paraId="7CCC799F" w14:textId="1FBC3483" w:rsidR="00830765" w:rsidRDefault="00515A90" w:rsidP="00B35ADB">
            <w:pPr>
              <w:autoSpaceDE w:val="0"/>
              <w:autoSpaceDN w:val="0"/>
              <w:adjustRightInd w:val="0"/>
              <w:spacing w:before="120" w:after="120"/>
              <w:rPr>
                <w:rFonts w:cstheme="minorHAnsi"/>
                <w:szCs w:val="22"/>
              </w:rPr>
            </w:pPr>
            <w:r>
              <w:rPr>
                <w:rFonts w:cstheme="minorHAnsi"/>
                <w:szCs w:val="22"/>
              </w:rPr>
              <w:t>Develop</w:t>
            </w:r>
            <w:r w:rsidR="00A47903">
              <w:rPr>
                <w:rFonts w:cstheme="minorHAnsi"/>
                <w:szCs w:val="22"/>
              </w:rPr>
              <w:t>m</w:t>
            </w:r>
            <w:r w:rsidR="00A47903">
              <w:t>ent of</w:t>
            </w:r>
            <w:r>
              <w:rPr>
                <w:rFonts w:cstheme="minorHAnsi"/>
                <w:szCs w:val="22"/>
              </w:rPr>
              <w:t xml:space="preserve"> a complaints </w:t>
            </w:r>
            <w:r w:rsidR="009C133A">
              <w:rPr>
                <w:rFonts w:cstheme="minorHAnsi"/>
                <w:szCs w:val="22"/>
              </w:rPr>
              <w:t>oversight</w:t>
            </w:r>
            <w:r w:rsidR="00830765">
              <w:rPr>
                <w:rFonts w:cstheme="minorHAnsi"/>
                <w:szCs w:val="22"/>
              </w:rPr>
              <w:t xml:space="preserve"> strategy to support oversight of the operation of the Aged Care </w:t>
            </w:r>
            <w:r w:rsidR="00830765" w:rsidRPr="00A526DA">
              <w:rPr>
                <w:rFonts w:cstheme="minorHAnsi"/>
                <w:szCs w:val="22"/>
              </w:rPr>
              <w:t xml:space="preserve">complaints </w:t>
            </w:r>
            <w:r w:rsidR="00830765">
              <w:rPr>
                <w:rFonts w:cstheme="minorHAnsi"/>
                <w:szCs w:val="22"/>
              </w:rPr>
              <w:t xml:space="preserve">management </w:t>
            </w:r>
            <w:r w:rsidR="00830765" w:rsidRPr="00A526DA">
              <w:rPr>
                <w:rFonts w:cstheme="minorHAnsi"/>
                <w:szCs w:val="22"/>
              </w:rPr>
              <w:t xml:space="preserve">frameworks </w:t>
            </w:r>
          </w:p>
          <w:p w14:paraId="4B62C152" w14:textId="3E8C701D" w:rsidR="00830765" w:rsidRPr="009B4E8D" w:rsidRDefault="00830765" w:rsidP="00B35ADB">
            <w:pPr>
              <w:autoSpaceDE w:val="0"/>
              <w:autoSpaceDN w:val="0"/>
              <w:adjustRightInd w:val="0"/>
              <w:spacing w:before="120" w:after="120"/>
              <w:rPr>
                <w:rFonts w:cstheme="minorHAnsi"/>
                <w:b/>
                <w:bCs/>
                <w:szCs w:val="22"/>
              </w:rPr>
            </w:pPr>
            <w:r w:rsidRPr="002B030B">
              <w:rPr>
                <w:rFonts w:cstheme="minorHAnsi"/>
                <w:szCs w:val="22"/>
              </w:rPr>
              <w:t xml:space="preserve">Commence monitoring of performance of complaints frameworks across aged care </w:t>
            </w:r>
            <w:r w:rsidR="009B4E8D">
              <w:rPr>
                <w:rFonts w:cstheme="minorHAnsi"/>
                <w:b/>
                <w:bCs/>
                <w:szCs w:val="22"/>
              </w:rPr>
              <w:t>–</w:t>
            </w:r>
            <w:r w:rsidRPr="002B030B">
              <w:rPr>
                <w:rFonts w:cstheme="minorHAnsi"/>
                <w:b/>
                <w:bCs/>
                <w:szCs w:val="22"/>
              </w:rPr>
              <w:t xml:space="preserve"> </w:t>
            </w:r>
            <w:r w:rsidRPr="00066193">
              <w:rPr>
                <w:rFonts w:cstheme="minorHAnsi"/>
                <w:b/>
                <w:bCs/>
                <w:szCs w:val="22"/>
              </w:rPr>
              <w:t>ongoing</w:t>
            </w:r>
          </w:p>
        </w:tc>
      </w:tr>
      <w:tr w:rsidR="00830765" w:rsidRPr="00A526DA" w14:paraId="0C6C41EB" w14:textId="77777777" w:rsidTr="00B35ADB">
        <w:tc>
          <w:tcPr>
            <w:tcW w:w="2977" w:type="dxa"/>
            <w:tcBorders>
              <w:top w:val="single" w:sz="12" w:space="0" w:color="59237B"/>
              <w:left w:val="nil"/>
              <w:bottom w:val="nil"/>
              <w:right w:val="nil"/>
            </w:tcBorders>
          </w:tcPr>
          <w:p w14:paraId="480060D5" w14:textId="77777777" w:rsidR="00830765" w:rsidRPr="00A526DA" w:rsidRDefault="00830765" w:rsidP="00B35ADB">
            <w:pPr>
              <w:autoSpaceDE w:val="0"/>
              <w:autoSpaceDN w:val="0"/>
              <w:adjustRightInd w:val="0"/>
              <w:rPr>
                <w:rFonts w:cstheme="minorHAnsi"/>
                <w:sz w:val="20"/>
                <w:szCs w:val="20"/>
              </w:rPr>
            </w:pPr>
          </w:p>
        </w:tc>
        <w:tc>
          <w:tcPr>
            <w:tcW w:w="6662" w:type="dxa"/>
            <w:tcBorders>
              <w:top w:val="single" w:sz="12" w:space="0" w:color="59237B"/>
              <w:left w:val="nil"/>
              <w:bottom w:val="nil"/>
              <w:right w:val="nil"/>
            </w:tcBorders>
          </w:tcPr>
          <w:p w14:paraId="518F95A2" w14:textId="77777777" w:rsidR="00830765" w:rsidRPr="00A526DA" w:rsidRDefault="00830765" w:rsidP="00B35ADB">
            <w:pPr>
              <w:autoSpaceDE w:val="0"/>
              <w:autoSpaceDN w:val="0"/>
              <w:adjustRightInd w:val="0"/>
              <w:rPr>
                <w:rFonts w:cstheme="minorHAnsi"/>
                <w:sz w:val="20"/>
                <w:szCs w:val="20"/>
              </w:rPr>
            </w:pPr>
          </w:p>
        </w:tc>
      </w:tr>
    </w:tbl>
    <w:p w14:paraId="54548E78" w14:textId="77777777" w:rsidR="00EE740F" w:rsidRDefault="00EE740F">
      <w:r>
        <w:br w:type="page"/>
      </w:r>
    </w:p>
    <w:tbl>
      <w:tblPr>
        <w:tblStyle w:val="TableGrid"/>
        <w:tblW w:w="9639" w:type="dxa"/>
        <w:tblLook w:val="04A0" w:firstRow="1" w:lastRow="0" w:firstColumn="1" w:lastColumn="0" w:noHBand="0" w:noVBand="1"/>
      </w:tblPr>
      <w:tblGrid>
        <w:gridCol w:w="2977"/>
        <w:gridCol w:w="6662"/>
      </w:tblGrid>
      <w:tr w:rsidR="00830765" w:rsidRPr="00A526DA" w14:paraId="46360B85" w14:textId="77777777" w:rsidTr="00884962">
        <w:tc>
          <w:tcPr>
            <w:tcW w:w="9639" w:type="dxa"/>
            <w:gridSpan w:val="2"/>
            <w:tcBorders>
              <w:top w:val="nil"/>
              <w:left w:val="nil"/>
              <w:bottom w:val="nil"/>
              <w:right w:val="nil"/>
            </w:tcBorders>
          </w:tcPr>
          <w:p w14:paraId="30299496" w14:textId="0B3191C7" w:rsidR="00830765" w:rsidRPr="00A526DA" w:rsidRDefault="00830765" w:rsidP="00831204">
            <w:pPr>
              <w:pStyle w:val="Heading2"/>
              <w:rPr>
                <w:sz w:val="20"/>
                <w:szCs w:val="20"/>
              </w:rPr>
            </w:pPr>
            <w:r w:rsidRPr="00A526DA">
              <w:lastRenderedPageBreak/>
              <w:t>Reviews</w:t>
            </w:r>
          </w:p>
        </w:tc>
      </w:tr>
      <w:tr w:rsidR="00830765" w:rsidRPr="00A526DA" w14:paraId="75F882FE" w14:textId="77777777" w:rsidTr="00884962">
        <w:tc>
          <w:tcPr>
            <w:tcW w:w="9639" w:type="dxa"/>
            <w:gridSpan w:val="2"/>
            <w:tcBorders>
              <w:top w:val="nil"/>
              <w:left w:val="nil"/>
              <w:bottom w:val="single" w:sz="12" w:space="0" w:color="59237B"/>
              <w:right w:val="nil"/>
            </w:tcBorders>
            <w:shd w:val="clear" w:color="auto" w:fill="FFFFFF" w:themeFill="background1"/>
          </w:tcPr>
          <w:p w14:paraId="2264BCAB" w14:textId="77777777" w:rsidR="00830765" w:rsidRDefault="00830765" w:rsidP="00B35ADB">
            <w:pPr>
              <w:spacing w:before="120" w:after="120"/>
            </w:pPr>
            <w:r w:rsidRPr="00344A4B">
              <w:t>The Inspector</w:t>
            </w:r>
            <w:r>
              <w:noBreakHyphen/>
            </w:r>
            <w:r w:rsidRPr="00344A4B">
              <w:t xml:space="preserve">General may conduct </w:t>
            </w:r>
            <w:r>
              <w:t xml:space="preserve">targeted </w:t>
            </w:r>
            <w:r w:rsidRPr="00344A4B">
              <w:t>reviews</w:t>
            </w:r>
            <w:r>
              <w:t xml:space="preserve"> </w:t>
            </w:r>
            <w:r w:rsidRPr="00344A4B">
              <w:t>for the purposes of performing certain functions.</w:t>
            </w:r>
            <w:r>
              <w:t xml:space="preserve"> </w:t>
            </w:r>
          </w:p>
          <w:p w14:paraId="0DA6AD50" w14:textId="6FC624BA" w:rsidR="00830765" w:rsidRPr="006B49DE" w:rsidRDefault="00830765" w:rsidP="00B35ADB">
            <w:pPr>
              <w:spacing w:before="120" w:after="120"/>
              <w:rPr>
                <w:rFonts w:cstheme="minorHAnsi"/>
                <w:szCs w:val="22"/>
              </w:rPr>
            </w:pPr>
            <w:r w:rsidRPr="00093E28">
              <w:rPr>
                <w:rFonts w:cstheme="minorHAnsi"/>
                <w:szCs w:val="22"/>
              </w:rPr>
              <w:t xml:space="preserve">The Inspector-General determines which Reviews will be commenced in a financial year, based on annual work planning processes including environmental scanning and formalised assessment </w:t>
            </w:r>
            <w:r>
              <w:rPr>
                <w:rFonts w:cstheme="minorHAnsi"/>
                <w:szCs w:val="22"/>
              </w:rPr>
              <w:t>processes for</w:t>
            </w:r>
            <w:r w:rsidRPr="00093E28">
              <w:rPr>
                <w:rFonts w:cstheme="minorHAnsi"/>
                <w:szCs w:val="22"/>
              </w:rPr>
              <w:t xml:space="preserve"> </w:t>
            </w:r>
            <w:r>
              <w:rPr>
                <w:rFonts w:cstheme="minorHAnsi"/>
                <w:szCs w:val="22"/>
              </w:rPr>
              <w:t xml:space="preserve">prioritising </w:t>
            </w:r>
            <w:r w:rsidRPr="00093E28">
              <w:rPr>
                <w:rFonts w:cstheme="minorHAnsi"/>
                <w:szCs w:val="22"/>
              </w:rPr>
              <w:t xml:space="preserve">identified issues. </w:t>
            </w:r>
            <w:r w:rsidRPr="00093E28">
              <w:rPr>
                <w:szCs w:val="22"/>
              </w:rPr>
              <w:t>Prior to commencing a review, an Individual Review Plan is developed to determine the proposed scope, timeframe and resource allocation, and risk mitigation. The Individual Review Plan informs the Inspector-General’s decision making for commencing a review.</w:t>
            </w:r>
          </w:p>
          <w:p w14:paraId="4E538A96" w14:textId="77777777" w:rsidR="00830765" w:rsidRPr="00093E28" w:rsidRDefault="00830765" w:rsidP="00B35ADB">
            <w:pPr>
              <w:spacing w:before="120" w:after="120"/>
              <w:rPr>
                <w:rStyle w:val="normaltextrun"/>
                <w:rFonts w:cstheme="minorHAnsi"/>
                <w:szCs w:val="22"/>
              </w:rPr>
            </w:pPr>
            <w:r w:rsidRPr="00055F8C">
              <w:rPr>
                <w:rFonts w:cstheme="minorHAnsi"/>
                <w:szCs w:val="22"/>
              </w:rPr>
              <w:t xml:space="preserve">As the annual work planning processes of the OIGAC continue to mature, further consideration will be given to publishing a forward list of </w:t>
            </w:r>
            <w:r>
              <w:rPr>
                <w:rFonts w:cstheme="minorHAnsi"/>
                <w:szCs w:val="22"/>
              </w:rPr>
              <w:t>systemic issues prioritised for future review.</w:t>
            </w:r>
          </w:p>
        </w:tc>
      </w:tr>
      <w:tr w:rsidR="00830765" w:rsidRPr="00A526DA" w14:paraId="235DB458" w14:textId="77777777" w:rsidTr="00884962">
        <w:tc>
          <w:tcPr>
            <w:tcW w:w="2977" w:type="dxa"/>
            <w:tcBorders>
              <w:top w:val="single" w:sz="12" w:space="0" w:color="59237B"/>
              <w:left w:val="single" w:sz="12" w:space="0" w:color="59237B"/>
              <w:bottom w:val="single" w:sz="12" w:space="0" w:color="59237B"/>
              <w:right w:val="nil"/>
            </w:tcBorders>
          </w:tcPr>
          <w:p w14:paraId="59C636B2" w14:textId="77777777" w:rsidR="00830765" w:rsidRPr="00055F8C" w:rsidRDefault="00830765" w:rsidP="00B35ADB">
            <w:pPr>
              <w:spacing w:before="120" w:after="120"/>
              <w:rPr>
                <w:rFonts w:cstheme="minorHAnsi"/>
                <w:szCs w:val="22"/>
              </w:rPr>
            </w:pPr>
            <w:r w:rsidRPr="00055F8C">
              <w:rPr>
                <w:rFonts w:cstheme="minorHAnsi"/>
                <w:szCs w:val="22"/>
              </w:rPr>
              <w:t>Administration of My Aged Care</w:t>
            </w:r>
          </w:p>
        </w:tc>
        <w:tc>
          <w:tcPr>
            <w:tcW w:w="6662" w:type="dxa"/>
            <w:tcBorders>
              <w:top w:val="single" w:sz="12" w:space="0" w:color="59237B"/>
              <w:left w:val="nil"/>
              <w:bottom w:val="single" w:sz="12" w:space="0" w:color="59237B"/>
              <w:right w:val="single" w:sz="12" w:space="0" w:color="59237B"/>
            </w:tcBorders>
          </w:tcPr>
          <w:p w14:paraId="242D1E36" w14:textId="77777777" w:rsidR="00830765" w:rsidRPr="00055F8C" w:rsidRDefault="00830765" w:rsidP="00B35ADB">
            <w:pPr>
              <w:spacing w:before="120" w:after="120"/>
              <w:rPr>
                <w:rStyle w:val="eop"/>
                <w:rFonts w:cstheme="minorHAnsi"/>
                <w:i/>
                <w:iCs/>
                <w:color w:val="000000"/>
                <w:szCs w:val="22"/>
                <w:shd w:val="clear" w:color="auto" w:fill="FFFFFF"/>
              </w:rPr>
            </w:pPr>
            <w:r w:rsidRPr="00055F8C">
              <w:rPr>
                <w:rStyle w:val="normaltextrun"/>
                <w:rFonts w:cstheme="minorHAnsi"/>
                <w:i/>
                <w:iCs/>
                <w:color w:val="000000"/>
                <w:szCs w:val="22"/>
                <w:shd w:val="clear" w:color="auto" w:fill="FFFFFF"/>
              </w:rPr>
              <w:t>Is My Aged Care fit for purpose in facilitating access to aged care services for older people regardless of their level of ability, cultural background or language?  </w:t>
            </w:r>
            <w:r w:rsidRPr="00055F8C">
              <w:rPr>
                <w:rStyle w:val="eop"/>
                <w:rFonts w:cstheme="minorHAnsi"/>
                <w:i/>
                <w:iCs/>
                <w:color w:val="000000"/>
                <w:szCs w:val="22"/>
                <w:shd w:val="clear" w:color="auto" w:fill="FFFFFF"/>
              </w:rPr>
              <w:t> </w:t>
            </w:r>
          </w:p>
          <w:p w14:paraId="71ECC565" w14:textId="77777777" w:rsidR="00830765" w:rsidRPr="00055F8C" w:rsidRDefault="00830765" w:rsidP="00B35ADB">
            <w:pPr>
              <w:spacing w:before="120" w:after="120"/>
              <w:rPr>
                <w:rStyle w:val="normaltextrun"/>
                <w:rFonts w:cstheme="minorHAnsi"/>
                <w:b/>
                <w:bCs/>
                <w:color w:val="000000"/>
                <w:szCs w:val="22"/>
                <w:shd w:val="clear" w:color="auto" w:fill="FFFFFF"/>
              </w:rPr>
            </w:pPr>
            <w:r w:rsidRPr="00055F8C">
              <w:rPr>
                <w:rStyle w:val="normaltextrun"/>
                <w:rFonts w:cstheme="minorHAnsi"/>
                <w:b/>
                <w:bCs/>
                <w:color w:val="000000"/>
                <w:szCs w:val="22"/>
                <w:shd w:val="clear" w:color="auto" w:fill="FFFFFF"/>
              </w:rPr>
              <w:t>C</w:t>
            </w:r>
            <w:r w:rsidRPr="00055F8C">
              <w:rPr>
                <w:rStyle w:val="normaltextrun"/>
                <w:rFonts w:cstheme="minorHAnsi"/>
                <w:b/>
                <w:bCs/>
                <w:szCs w:val="22"/>
              </w:rPr>
              <w:t>ontinuing from 2023-24</w:t>
            </w:r>
          </w:p>
        </w:tc>
      </w:tr>
      <w:tr w:rsidR="00830765" w:rsidRPr="00A526DA" w14:paraId="4566AC12" w14:textId="77777777" w:rsidTr="00B35ADB">
        <w:tc>
          <w:tcPr>
            <w:tcW w:w="2977" w:type="dxa"/>
            <w:tcBorders>
              <w:top w:val="single" w:sz="12" w:space="0" w:color="59237B"/>
              <w:left w:val="single" w:sz="12" w:space="0" w:color="59237B"/>
              <w:bottom w:val="single" w:sz="12" w:space="0" w:color="59237B"/>
              <w:right w:val="nil"/>
            </w:tcBorders>
          </w:tcPr>
          <w:p w14:paraId="5CDC6929" w14:textId="77777777" w:rsidR="00830765" w:rsidRPr="00055F8C" w:rsidRDefault="00830765" w:rsidP="00B35ADB">
            <w:pPr>
              <w:spacing w:before="120" w:after="120"/>
              <w:rPr>
                <w:rFonts w:cstheme="minorHAnsi"/>
                <w:szCs w:val="22"/>
              </w:rPr>
            </w:pPr>
            <w:r w:rsidRPr="00055F8C">
              <w:rPr>
                <w:rFonts w:cstheme="minorHAnsi"/>
                <w:szCs w:val="22"/>
              </w:rPr>
              <w:t xml:space="preserve">New Review </w:t>
            </w:r>
            <w:r>
              <w:rPr>
                <w:rFonts w:cstheme="minorHAnsi"/>
                <w:szCs w:val="22"/>
              </w:rPr>
              <w:t>(Placeholder)</w:t>
            </w:r>
          </w:p>
        </w:tc>
        <w:tc>
          <w:tcPr>
            <w:tcW w:w="6662" w:type="dxa"/>
            <w:tcBorders>
              <w:top w:val="single" w:sz="12" w:space="0" w:color="59237B"/>
              <w:left w:val="nil"/>
              <w:bottom w:val="single" w:sz="12" w:space="0" w:color="59237B"/>
              <w:right w:val="single" w:sz="12" w:space="0" w:color="59237B"/>
            </w:tcBorders>
          </w:tcPr>
          <w:p w14:paraId="0EBB37E5" w14:textId="77777777" w:rsidR="00830765" w:rsidRPr="00725818" w:rsidRDefault="00830765" w:rsidP="00B35ADB">
            <w:pPr>
              <w:spacing w:before="120" w:after="120"/>
              <w:rPr>
                <w:rStyle w:val="normaltextrun"/>
                <w:rFonts w:cstheme="minorHAnsi"/>
                <w:color w:val="000000"/>
                <w:szCs w:val="22"/>
                <w:shd w:val="clear" w:color="auto" w:fill="FFFFFF"/>
              </w:rPr>
            </w:pPr>
            <w:r>
              <w:rPr>
                <w:rStyle w:val="normaltextrun"/>
                <w:rFonts w:cstheme="minorHAnsi"/>
                <w:color w:val="000000"/>
                <w:szCs w:val="22"/>
                <w:shd w:val="clear" w:color="auto" w:fill="FFFFFF"/>
              </w:rPr>
              <w:t xml:space="preserve">Additional review topics may be identified for commencement in </w:t>
            </w:r>
            <w:r>
              <w:rPr>
                <w:rStyle w:val="normaltextrun"/>
                <w:rFonts w:cstheme="minorHAnsi"/>
                <w:color w:val="000000"/>
                <w:szCs w:val="22"/>
                <w:shd w:val="clear" w:color="auto" w:fill="FFFFFF"/>
              </w:rPr>
              <w:br/>
              <w:t>2024-25 at the Inspector-General’s discretion. If required, a variation to the Annual Work Plan will be published on the OIGAC’s website.</w:t>
            </w:r>
          </w:p>
          <w:p w14:paraId="3F5BF22E" w14:textId="77777777" w:rsidR="00830765" w:rsidRPr="00055F8C" w:rsidRDefault="00830765" w:rsidP="00B35ADB">
            <w:pPr>
              <w:spacing w:before="120" w:after="120"/>
              <w:rPr>
                <w:rStyle w:val="normaltextrun"/>
                <w:rFonts w:cstheme="minorHAnsi"/>
                <w:b/>
                <w:bCs/>
                <w:color w:val="000000"/>
                <w:szCs w:val="22"/>
                <w:shd w:val="clear" w:color="auto" w:fill="FFFFFF"/>
              </w:rPr>
            </w:pPr>
            <w:r w:rsidRPr="00055F8C">
              <w:rPr>
                <w:rStyle w:val="normaltextrun"/>
                <w:rFonts w:cstheme="minorHAnsi"/>
                <w:b/>
                <w:bCs/>
                <w:color w:val="000000"/>
                <w:szCs w:val="22"/>
                <w:shd w:val="clear" w:color="auto" w:fill="FFFFFF"/>
              </w:rPr>
              <w:t xml:space="preserve">To be confirmed (pending timeframes and </w:t>
            </w:r>
            <w:r>
              <w:rPr>
                <w:rStyle w:val="normaltextrun"/>
                <w:rFonts w:cstheme="minorHAnsi"/>
                <w:b/>
                <w:bCs/>
                <w:color w:val="000000"/>
                <w:szCs w:val="22"/>
                <w:shd w:val="clear" w:color="auto" w:fill="FFFFFF"/>
              </w:rPr>
              <w:t>a</w:t>
            </w:r>
            <w:r>
              <w:rPr>
                <w:rStyle w:val="normaltextrun"/>
                <w:b/>
                <w:bCs/>
                <w:color w:val="000000"/>
                <w:shd w:val="clear" w:color="auto" w:fill="FFFFFF"/>
              </w:rPr>
              <w:t xml:space="preserve">vailable </w:t>
            </w:r>
            <w:r w:rsidRPr="00055F8C">
              <w:rPr>
                <w:rStyle w:val="normaltextrun"/>
                <w:rFonts w:cstheme="minorHAnsi"/>
                <w:b/>
                <w:bCs/>
                <w:color w:val="000000"/>
                <w:szCs w:val="22"/>
                <w:shd w:val="clear" w:color="auto" w:fill="FFFFFF"/>
              </w:rPr>
              <w:t>resources)</w:t>
            </w:r>
          </w:p>
        </w:tc>
      </w:tr>
      <w:tr w:rsidR="00830765" w:rsidRPr="00A526DA" w14:paraId="5E9C2F27" w14:textId="77777777" w:rsidTr="0087753A">
        <w:tc>
          <w:tcPr>
            <w:tcW w:w="2977" w:type="dxa"/>
            <w:tcBorders>
              <w:top w:val="nil"/>
              <w:left w:val="nil"/>
              <w:bottom w:val="nil"/>
              <w:right w:val="nil"/>
            </w:tcBorders>
          </w:tcPr>
          <w:p w14:paraId="5EFF6D71" w14:textId="395591BB" w:rsidR="00830765" w:rsidRPr="00E21744" w:rsidRDefault="00830765" w:rsidP="0066485C">
            <w:pPr>
              <w:pStyle w:val="Heading2"/>
              <w:spacing w:before="360"/>
            </w:pPr>
            <w:r w:rsidRPr="00E21744">
              <w:t>Reports</w:t>
            </w:r>
          </w:p>
        </w:tc>
        <w:tc>
          <w:tcPr>
            <w:tcW w:w="6662" w:type="dxa"/>
            <w:tcBorders>
              <w:top w:val="nil"/>
              <w:left w:val="nil"/>
              <w:bottom w:val="nil"/>
              <w:right w:val="nil"/>
            </w:tcBorders>
          </w:tcPr>
          <w:p w14:paraId="081667E3" w14:textId="77777777" w:rsidR="00830765" w:rsidRPr="00A526DA" w:rsidRDefault="00830765" w:rsidP="00B35ADB">
            <w:pPr>
              <w:autoSpaceDE w:val="0"/>
              <w:autoSpaceDN w:val="0"/>
              <w:adjustRightInd w:val="0"/>
              <w:rPr>
                <w:rFonts w:cstheme="minorHAnsi"/>
                <w:sz w:val="20"/>
                <w:szCs w:val="20"/>
              </w:rPr>
            </w:pPr>
          </w:p>
        </w:tc>
      </w:tr>
      <w:tr w:rsidR="00830765" w:rsidRPr="00A526DA" w14:paraId="61DC5546" w14:textId="77777777" w:rsidTr="0087753A">
        <w:tc>
          <w:tcPr>
            <w:tcW w:w="9639" w:type="dxa"/>
            <w:gridSpan w:val="2"/>
            <w:tcBorders>
              <w:top w:val="nil"/>
              <w:left w:val="nil"/>
              <w:bottom w:val="nil"/>
              <w:right w:val="nil"/>
            </w:tcBorders>
          </w:tcPr>
          <w:p w14:paraId="28C9D425" w14:textId="57917471" w:rsidR="00830765" w:rsidRPr="00027616" w:rsidRDefault="00830765" w:rsidP="00B35ADB">
            <w:pPr>
              <w:autoSpaceDE w:val="0"/>
              <w:autoSpaceDN w:val="0"/>
              <w:adjustRightInd w:val="0"/>
              <w:spacing w:before="120" w:after="120"/>
              <w:rPr>
                <w:szCs w:val="22"/>
              </w:rPr>
            </w:pPr>
            <w:r>
              <w:rPr>
                <w:szCs w:val="22"/>
              </w:rPr>
              <w:t>The Inspector-General must publish annual reports on the progress made by the Commonwealth towards implementing the recommendations of the Royal Commission into Aged Care Quality</w:t>
            </w:r>
            <w:r w:rsidR="00387402">
              <w:rPr>
                <w:szCs w:val="22"/>
              </w:rPr>
              <w:t xml:space="preserve"> and Safety</w:t>
            </w:r>
            <w:r>
              <w:rPr>
                <w:szCs w:val="22"/>
              </w:rPr>
              <w:t>. The Inspector-General may also publish reports on any other matter relating to the Inspector</w:t>
            </w:r>
            <w:r w:rsidR="00ED1834">
              <w:rPr>
                <w:szCs w:val="22"/>
              </w:rPr>
              <w:noBreakHyphen/>
            </w:r>
            <w:r>
              <w:rPr>
                <w:szCs w:val="22"/>
              </w:rPr>
              <w:t xml:space="preserve">General’s functions. </w:t>
            </w:r>
          </w:p>
        </w:tc>
      </w:tr>
      <w:tr w:rsidR="00830765" w:rsidRPr="00A526DA" w14:paraId="56E19AF5" w14:textId="77777777" w:rsidTr="00B35ADB">
        <w:tc>
          <w:tcPr>
            <w:tcW w:w="2977" w:type="dxa"/>
            <w:tcBorders>
              <w:top w:val="single" w:sz="12" w:space="0" w:color="59237B"/>
              <w:left w:val="single" w:sz="12" w:space="0" w:color="59237B"/>
              <w:bottom w:val="nil"/>
              <w:right w:val="nil"/>
            </w:tcBorders>
          </w:tcPr>
          <w:p w14:paraId="5CC0435B" w14:textId="77777777" w:rsidR="00830765" w:rsidRPr="00055F8C" w:rsidRDefault="00830765" w:rsidP="00B35ADB">
            <w:pPr>
              <w:autoSpaceDE w:val="0"/>
              <w:autoSpaceDN w:val="0"/>
              <w:adjustRightInd w:val="0"/>
              <w:spacing w:before="120" w:after="120"/>
              <w:rPr>
                <w:rFonts w:cstheme="minorHAnsi"/>
                <w:szCs w:val="22"/>
              </w:rPr>
            </w:pPr>
            <w:r w:rsidRPr="00055F8C">
              <w:rPr>
                <w:rFonts w:cstheme="minorHAnsi"/>
                <w:szCs w:val="22"/>
              </w:rPr>
              <w:t>Royal Commission Reform Implementation</w:t>
            </w:r>
          </w:p>
        </w:tc>
        <w:tc>
          <w:tcPr>
            <w:tcW w:w="6662" w:type="dxa"/>
            <w:tcBorders>
              <w:top w:val="single" w:sz="12" w:space="0" w:color="59237B"/>
              <w:left w:val="nil"/>
              <w:bottom w:val="nil"/>
              <w:right w:val="single" w:sz="12" w:space="0" w:color="59237B"/>
            </w:tcBorders>
          </w:tcPr>
          <w:p w14:paraId="56E4ED99" w14:textId="77777777" w:rsidR="00830765" w:rsidRPr="00055F8C" w:rsidRDefault="00830765" w:rsidP="00B35ADB">
            <w:pPr>
              <w:autoSpaceDE w:val="0"/>
              <w:autoSpaceDN w:val="0"/>
              <w:adjustRightInd w:val="0"/>
              <w:spacing w:before="120" w:after="120"/>
              <w:rPr>
                <w:rFonts w:cstheme="minorHAnsi"/>
                <w:szCs w:val="22"/>
              </w:rPr>
            </w:pPr>
            <w:r w:rsidRPr="00055F8C">
              <w:rPr>
                <w:rFonts w:cstheme="minorHAnsi"/>
                <w:szCs w:val="22"/>
              </w:rPr>
              <w:t>Annual report on Implementation of the Aged Care Royal Commission Recommendations</w:t>
            </w:r>
          </w:p>
          <w:p w14:paraId="277BE3DF" w14:textId="76D00649" w:rsidR="00830765" w:rsidRPr="00055F8C" w:rsidRDefault="00830765" w:rsidP="00B35ADB">
            <w:pPr>
              <w:autoSpaceDE w:val="0"/>
              <w:autoSpaceDN w:val="0"/>
              <w:adjustRightInd w:val="0"/>
              <w:spacing w:before="120" w:after="120"/>
              <w:rPr>
                <w:rFonts w:cstheme="minorHAnsi"/>
                <w:b/>
                <w:bCs/>
                <w:szCs w:val="22"/>
              </w:rPr>
            </w:pPr>
            <w:r w:rsidRPr="00055F8C">
              <w:rPr>
                <w:rFonts w:cstheme="minorHAnsi"/>
                <w:b/>
                <w:bCs/>
                <w:szCs w:val="22"/>
              </w:rPr>
              <w:t>Report</w:t>
            </w:r>
            <w:r>
              <w:rPr>
                <w:rFonts w:cstheme="minorHAnsi"/>
                <w:b/>
                <w:bCs/>
                <w:szCs w:val="22"/>
              </w:rPr>
              <w:t xml:space="preserve"> due to the Minister responsible for Aged Care</w:t>
            </w:r>
            <w:r w:rsidRPr="00055F8C">
              <w:rPr>
                <w:rFonts w:cstheme="minorHAnsi"/>
                <w:b/>
                <w:bCs/>
                <w:szCs w:val="22"/>
              </w:rPr>
              <w:t xml:space="preserve"> by 1 June 2025</w:t>
            </w:r>
            <w:r w:rsidR="008D68CD">
              <w:rPr>
                <w:rFonts w:cstheme="minorHAnsi"/>
                <w:b/>
                <w:bCs/>
                <w:szCs w:val="22"/>
              </w:rPr>
              <w:t xml:space="preserve"> for subsequent tabling in Parliament </w:t>
            </w:r>
          </w:p>
        </w:tc>
      </w:tr>
      <w:tr w:rsidR="008D68CD" w:rsidRPr="00A526DA" w14:paraId="0F736C40" w14:textId="77777777" w:rsidTr="00B35ADB">
        <w:tc>
          <w:tcPr>
            <w:tcW w:w="2977" w:type="dxa"/>
            <w:tcBorders>
              <w:top w:val="single" w:sz="12" w:space="0" w:color="59237B"/>
              <w:left w:val="single" w:sz="12" w:space="0" w:color="59237B"/>
              <w:bottom w:val="nil"/>
              <w:right w:val="nil"/>
            </w:tcBorders>
          </w:tcPr>
          <w:p w14:paraId="5FFE343D" w14:textId="06393A1D" w:rsidR="008D68CD" w:rsidRPr="00055F8C" w:rsidRDefault="008D68CD" w:rsidP="00B35ADB">
            <w:pPr>
              <w:autoSpaceDE w:val="0"/>
              <w:autoSpaceDN w:val="0"/>
              <w:adjustRightInd w:val="0"/>
              <w:spacing w:before="120" w:after="120"/>
              <w:rPr>
                <w:rFonts w:cstheme="minorHAnsi"/>
                <w:szCs w:val="22"/>
              </w:rPr>
            </w:pPr>
            <w:r>
              <w:rPr>
                <w:rFonts w:cstheme="minorHAnsi"/>
                <w:szCs w:val="22"/>
              </w:rPr>
              <w:t>New Reports (Placeholder)</w:t>
            </w:r>
          </w:p>
        </w:tc>
        <w:tc>
          <w:tcPr>
            <w:tcW w:w="6662" w:type="dxa"/>
            <w:tcBorders>
              <w:top w:val="single" w:sz="12" w:space="0" w:color="59237B"/>
              <w:left w:val="nil"/>
              <w:bottom w:val="nil"/>
              <w:right w:val="single" w:sz="12" w:space="0" w:color="59237B"/>
            </w:tcBorders>
          </w:tcPr>
          <w:p w14:paraId="3626F435" w14:textId="6659D99F" w:rsidR="008D68CD" w:rsidRPr="00055F8C" w:rsidRDefault="008D68CD" w:rsidP="008D68CD">
            <w:pPr>
              <w:autoSpaceDE w:val="0"/>
              <w:autoSpaceDN w:val="0"/>
              <w:adjustRightInd w:val="0"/>
              <w:spacing w:before="120" w:after="120"/>
              <w:rPr>
                <w:rFonts w:cstheme="minorHAnsi"/>
                <w:szCs w:val="22"/>
              </w:rPr>
            </w:pPr>
            <w:r>
              <w:rPr>
                <w:rFonts w:cstheme="minorHAnsi"/>
                <w:szCs w:val="22"/>
              </w:rPr>
              <w:t xml:space="preserve">The </w:t>
            </w:r>
            <w:r w:rsidRPr="00ED1834">
              <w:rPr>
                <w:rFonts w:cstheme="minorHAnsi"/>
                <w:i/>
                <w:iCs/>
                <w:szCs w:val="22"/>
              </w:rPr>
              <w:t>I</w:t>
            </w:r>
            <w:r w:rsidR="00ED1834" w:rsidRPr="00ED1834">
              <w:rPr>
                <w:rFonts w:cstheme="minorHAnsi"/>
                <w:i/>
                <w:iCs/>
                <w:szCs w:val="22"/>
              </w:rPr>
              <w:t>nspector-General of Aged Care</w:t>
            </w:r>
            <w:r w:rsidRPr="00ED1834">
              <w:rPr>
                <w:rFonts w:cstheme="minorHAnsi"/>
                <w:i/>
                <w:iCs/>
                <w:szCs w:val="22"/>
              </w:rPr>
              <w:t xml:space="preserve"> Act </w:t>
            </w:r>
            <w:r w:rsidR="00ED1834" w:rsidRPr="00ED1834">
              <w:rPr>
                <w:rFonts w:cstheme="minorHAnsi"/>
                <w:i/>
                <w:iCs/>
                <w:szCs w:val="22"/>
              </w:rPr>
              <w:t>2023</w:t>
            </w:r>
            <w:r w:rsidR="00ED1834">
              <w:rPr>
                <w:rFonts w:cstheme="minorHAnsi"/>
                <w:szCs w:val="22"/>
              </w:rPr>
              <w:t xml:space="preserve"> (the Act) </w:t>
            </w:r>
            <w:r w:rsidR="008008C1">
              <w:rPr>
                <w:rFonts w:cstheme="minorHAnsi"/>
                <w:szCs w:val="22"/>
              </w:rPr>
              <w:t>provides for the Inspector-General to provide reports o</w:t>
            </w:r>
            <w:r w:rsidR="00ED1834">
              <w:rPr>
                <w:rFonts w:cstheme="minorHAnsi"/>
                <w:szCs w:val="22"/>
              </w:rPr>
              <w:t>n</w:t>
            </w:r>
            <w:r w:rsidR="008008C1">
              <w:rPr>
                <w:rFonts w:cstheme="minorHAnsi"/>
                <w:szCs w:val="22"/>
              </w:rPr>
              <w:t xml:space="preserve"> any matter related to their functions under the Act. There are a range of such matters before the Inspector-General. The ability to prepare repo</w:t>
            </w:r>
            <w:r w:rsidR="00ED1834">
              <w:rPr>
                <w:rFonts w:cstheme="minorHAnsi"/>
                <w:szCs w:val="22"/>
              </w:rPr>
              <w:t>r</w:t>
            </w:r>
            <w:r w:rsidR="008008C1">
              <w:rPr>
                <w:rFonts w:cstheme="minorHAnsi"/>
                <w:szCs w:val="22"/>
              </w:rPr>
              <w:t xml:space="preserve">ts on some of these is </w:t>
            </w:r>
            <w:r w:rsidR="00464A02">
              <w:rPr>
                <w:rFonts w:cstheme="minorHAnsi"/>
                <w:szCs w:val="22"/>
              </w:rPr>
              <w:t>dependent</w:t>
            </w:r>
            <w:r w:rsidR="008008C1">
              <w:rPr>
                <w:rFonts w:cstheme="minorHAnsi"/>
                <w:szCs w:val="22"/>
              </w:rPr>
              <w:t xml:space="preserve"> on the resources </w:t>
            </w:r>
            <w:r w:rsidR="00464A02">
              <w:rPr>
                <w:rFonts w:cstheme="minorHAnsi"/>
                <w:szCs w:val="22"/>
              </w:rPr>
              <w:t>available</w:t>
            </w:r>
            <w:r w:rsidR="008008C1">
              <w:rPr>
                <w:rFonts w:cstheme="minorHAnsi"/>
                <w:szCs w:val="22"/>
              </w:rPr>
              <w:t xml:space="preserve"> to the </w:t>
            </w:r>
            <w:r w:rsidR="00464A02">
              <w:rPr>
                <w:rFonts w:cstheme="minorHAnsi"/>
                <w:szCs w:val="22"/>
              </w:rPr>
              <w:t xml:space="preserve">Inspector-General </w:t>
            </w:r>
          </w:p>
        </w:tc>
      </w:tr>
      <w:tr w:rsidR="00830765" w:rsidRPr="00A526DA" w14:paraId="4828ADD8" w14:textId="77777777" w:rsidTr="00B35ADB">
        <w:tc>
          <w:tcPr>
            <w:tcW w:w="2977" w:type="dxa"/>
            <w:tcBorders>
              <w:top w:val="single" w:sz="12" w:space="0" w:color="59237B"/>
              <w:left w:val="nil"/>
              <w:bottom w:val="nil"/>
              <w:right w:val="nil"/>
            </w:tcBorders>
          </w:tcPr>
          <w:p w14:paraId="280284A5" w14:textId="77777777" w:rsidR="00830765" w:rsidRPr="00A526DA" w:rsidRDefault="00830765" w:rsidP="00B35ADB">
            <w:pPr>
              <w:autoSpaceDE w:val="0"/>
              <w:autoSpaceDN w:val="0"/>
              <w:adjustRightInd w:val="0"/>
              <w:rPr>
                <w:rFonts w:cstheme="minorHAnsi"/>
                <w:sz w:val="20"/>
                <w:szCs w:val="20"/>
              </w:rPr>
            </w:pPr>
          </w:p>
        </w:tc>
        <w:tc>
          <w:tcPr>
            <w:tcW w:w="6662" w:type="dxa"/>
            <w:tcBorders>
              <w:top w:val="single" w:sz="12" w:space="0" w:color="59237B"/>
              <w:left w:val="nil"/>
              <w:bottom w:val="nil"/>
              <w:right w:val="nil"/>
            </w:tcBorders>
          </w:tcPr>
          <w:p w14:paraId="03A7670A" w14:textId="74E400D7" w:rsidR="00830765" w:rsidRPr="00A526DA" w:rsidRDefault="00830765" w:rsidP="00B35ADB">
            <w:pPr>
              <w:autoSpaceDE w:val="0"/>
              <w:autoSpaceDN w:val="0"/>
              <w:adjustRightInd w:val="0"/>
              <w:rPr>
                <w:rFonts w:cstheme="minorHAnsi"/>
                <w:sz w:val="20"/>
                <w:szCs w:val="20"/>
              </w:rPr>
            </w:pPr>
          </w:p>
        </w:tc>
      </w:tr>
    </w:tbl>
    <w:p w14:paraId="7BD67AEB" w14:textId="77777777" w:rsidR="00A52D2B" w:rsidRDefault="00A52D2B">
      <w:r>
        <w:br w:type="page"/>
      </w:r>
    </w:p>
    <w:tbl>
      <w:tblPr>
        <w:tblStyle w:val="TableGrid"/>
        <w:tblW w:w="9639" w:type="dxa"/>
        <w:tblLook w:val="04A0" w:firstRow="1" w:lastRow="0" w:firstColumn="1" w:lastColumn="0" w:noHBand="0" w:noVBand="1"/>
      </w:tblPr>
      <w:tblGrid>
        <w:gridCol w:w="2977"/>
        <w:gridCol w:w="6662"/>
      </w:tblGrid>
      <w:tr w:rsidR="00830765" w:rsidRPr="00A526DA" w14:paraId="502BFCBA" w14:textId="77777777" w:rsidTr="00884962">
        <w:tc>
          <w:tcPr>
            <w:tcW w:w="2977" w:type="dxa"/>
            <w:tcBorders>
              <w:top w:val="nil"/>
              <w:left w:val="nil"/>
              <w:bottom w:val="nil"/>
              <w:right w:val="nil"/>
            </w:tcBorders>
          </w:tcPr>
          <w:p w14:paraId="5BA20EAF" w14:textId="437BB4DE" w:rsidR="00830765" w:rsidRPr="00E21744" w:rsidRDefault="00830765" w:rsidP="0066485C">
            <w:pPr>
              <w:pStyle w:val="Heading2"/>
            </w:pPr>
            <w:r w:rsidRPr="00E21744">
              <w:lastRenderedPageBreak/>
              <w:t>Engagement</w:t>
            </w:r>
          </w:p>
        </w:tc>
        <w:tc>
          <w:tcPr>
            <w:tcW w:w="6662" w:type="dxa"/>
            <w:tcBorders>
              <w:top w:val="nil"/>
              <w:left w:val="nil"/>
              <w:bottom w:val="nil"/>
              <w:right w:val="nil"/>
            </w:tcBorders>
          </w:tcPr>
          <w:p w14:paraId="731A39E5" w14:textId="77777777" w:rsidR="00830765" w:rsidRPr="00A526DA" w:rsidRDefault="00830765" w:rsidP="00B35ADB">
            <w:pPr>
              <w:autoSpaceDE w:val="0"/>
              <w:autoSpaceDN w:val="0"/>
              <w:adjustRightInd w:val="0"/>
              <w:rPr>
                <w:rFonts w:cstheme="minorHAnsi"/>
                <w:sz w:val="20"/>
                <w:szCs w:val="20"/>
              </w:rPr>
            </w:pPr>
          </w:p>
        </w:tc>
      </w:tr>
      <w:tr w:rsidR="00830765" w:rsidRPr="00A526DA" w14:paraId="76038704" w14:textId="77777777" w:rsidTr="0073568B">
        <w:trPr>
          <w:trHeight w:val="1379"/>
        </w:trPr>
        <w:tc>
          <w:tcPr>
            <w:tcW w:w="9639" w:type="dxa"/>
            <w:gridSpan w:val="2"/>
            <w:tcBorders>
              <w:top w:val="nil"/>
              <w:left w:val="nil"/>
              <w:bottom w:val="single" w:sz="12" w:space="0" w:color="59237B"/>
              <w:right w:val="nil"/>
            </w:tcBorders>
          </w:tcPr>
          <w:p w14:paraId="428B5332" w14:textId="401E0EB8" w:rsidR="00830765" w:rsidRPr="00E233CD" w:rsidRDefault="00830765" w:rsidP="00B35ADB">
            <w:pPr>
              <w:spacing w:before="120" w:after="120"/>
            </w:pPr>
            <w:r>
              <w:rPr>
                <w:rFonts w:cstheme="minorHAnsi"/>
                <w:szCs w:val="22"/>
              </w:rPr>
              <w:t>E</w:t>
            </w:r>
            <w:r>
              <w:t xml:space="preserve">ngaging with the aged care sector including those </w:t>
            </w:r>
            <w:r w:rsidR="005652DE">
              <w:t xml:space="preserve">responsible for </w:t>
            </w:r>
            <w:r>
              <w:t xml:space="preserve">the development and delivery of the aged care system as well as with older people in Australia and their families and carers, </w:t>
            </w:r>
            <w:r w:rsidR="00EA1416">
              <w:t>is</w:t>
            </w:r>
            <w:r>
              <w:t xml:space="preserve"> an important part of the work </w:t>
            </w:r>
            <w:r w:rsidR="002B4936">
              <w:t xml:space="preserve">program </w:t>
            </w:r>
            <w:r>
              <w:t xml:space="preserve">of the Inspector-General. Consultation and engagement activities aim to ensure that the </w:t>
            </w:r>
            <w:r w:rsidR="00AF3718">
              <w:t xml:space="preserve">key </w:t>
            </w:r>
            <w:r>
              <w:t xml:space="preserve">focus and </w:t>
            </w:r>
            <w:r w:rsidR="00AB5CFC">
              <w:t xml:space="preserve">oversight </w:t>
            </w:r>
            <w:r>
              <w:t>priorities of the Inspector-General remain relevant and current.</w:t>
            </w:r>
          </w:p>
        </w:tc>
      </w:tr>
      <w:tr w:rsidR="00830765" w:rsidRPr="00A526DA" w14:paraId="7DFFB21D" w14:textId="77777777" w:rsidTr="00B35ADB">
        <w:tc>
          <w:tcPr>
            <w:tcW w:w="2977" w:type="dxa"/>
            <w:tcBorders>
              <w:top w:val="single" w:sz="12" w:space="0" w:color="59237B"/>
              <w:left w:val="single" w:sz="12" w:space="0" w:color="59237B"/>
              <w:bottom w:val="single" w:sz="12" w:space="0" w:color="59237B"/>
              <w:right w:val="nil"/>
            </w:tcBorders>
          </w:tcPr>
          <w:p w14:paraId="0D68E247" w14:textId="77777777" w:rsidR="00830765" w:rsidRPr="00055F8C" w:rsidRDefault="00830765" w:rsidP="00B35ADB">
            <w:pPr>
              <w:spacing w:before="120" w:after="120"/>
              <w:rPr>
                <w:rFonts w:cstheme="minorHAnsi"/>
                <w:szCs w:val="22"/>
              </w:rPr>
            </w:pPr>
            <w:r>
              <w:rPr>
                <w:rFonts w:cstheme="minorHAnsi"/>
                <w:szCs w:val="22"/>
              </w:rPr>
              <w:t xml:space="preserve">Consultative Committee </w:t>
            </w:r>
          </w:p>
        </w:tc>
        <w:tc>
          <w:tcPr>
            <w:tcW w:w="6662" w:type="dxa"/>
            <w:tcBorders>
              <w:top w:val="single" w:sz="12" w:space="0" w:color="59237B"/>
              <w:left w:val="nil"/>
              <w:bottom w:val="single" w:sz="12" w:space="0" w:color="59237B"/>
              <w:right w:val="single" w:sz="12" w:space="0" w:color="59237B"/>
            </w:tcBorders>
          </w:tcPr>
          <w:p w14:paraId="0BBD735F" w14:textId="0C887F7F" w:rsidR="00830765" w:rsidRPr="00055F8C" w:rsidRDefault="00830765" w:rsidP="00B35ADB">
            <w:pPr>
              <w:spacing w:before="120" w:after="120"/>
              <w:rPr>
                <w:rFonts w:cstheme="minorHAnsi"/>
                <w:szCs w:val="22"/>
              </w:rPr>
            </w:pPr>
            <w:r>
              <w:rPr>
                <w:rFonts w:cstheme="minorHAnsi"/>
                <w:szCs w:val="22"/>
              </w:rPr>
              <w:t xml:space="preserve">Consultative Committee meetings </w:t>
            </w:r>
            <w:r w:rsidR="000510CE">
              <w:rPr>
                <w:rFonts w:cstheme="minorHAnsi"/>
                <w:szCs w:val="22"/>
              </w:rPr>
              <w:t>(</w:t>
            </w:r>
            <w:r w:rsidR="005652DE">
              <w:rPr>
                <w:rFonts w:cstheme="minorHAnsi"/>
                <w:szCs w:val="22"/>
              </w:rPr>
              <w:t>quarterly</w:t>
            </w:r>
            <w:r w:rsidR="00B958A0">
              <w:rPr>
                <w:rFonts w:cstheme="minorHAnsi"/>
                <w:szCs w:val="22"/>
              </w:rPr>
              <w:t>)</w:t>
            </w:r>
            <w:r>
              <w:rPr>
                <w:rFonts w:cstheme="minorHAnsi"/>
                <w:szCs w:val="22"/>
              </w:rPr>
              <w:t xml:space="preserve">  </w:t>
            </w:r>
          </w:p>
        </w:tc>
      </w:tr>
      <w:tr w:rsidR="00830765" w:rsidRPr="00A526DA" w14:paraId="6B4AF93B" w14:textId="77777777" w:rsidTr="00B35ADB">
        <w:tc>
          <w:tcPr>
            <w:tcW w:w="2977" w:type="dxa"/>
            <w:tcBorders>
              <w:top w:val="single" w:sz="12" w:space="0" w:color="59237B"/>
              <w:left w:val="single" w:sz="12" w:space="0" w:color="59237B"/>
              <w:bottom w:val="single" w:sz="12" w:space="0" w:color="59237B"/>
              <w:right w:val="nil"/>
            </w:tcBorders>
          </w:tcPr>
          <w:p w14:paraId="556101FD" w14:textId="77777777" w:rsidR="00830765" w:rsidRPr="00055F8C" w:rsidRDefault="00830765" w:rsidP="00B35ADB">
            <w:pPr>
              <w:spacing w:before="120" w:after="120"/>
              <w:rPr>
                <w:rFonts w:cstheme="minorHAnsi"/>
                <w:szCs w:val="22"/>
              </w:rPr>
            </w:pPr>
            <w:r>
              <w:rPr>
                <w:rFonts w:cstheme="minorHAnsi"/>
                <w:szCs w:val="22"/>
              </w:rPr>
              <w:t>Stakeholder engagement</w:t>
            </w:r>
          </w:p>
        </w:tc>
        <w:tc>
          <w:tcPr>
            <w:tcW w:w="6662" w:type="dxa"/>
            <w:tcBorders>
              <w:top w:val="single" w:sz="12" w:space="0" w:color="59237B"/>
              <w:left w:val="nil"/>
              <w:bottom w:val="single" w:sz="12" w:space="0" w:color="59237B"/>
              <w:right w:val="single" w:sz="12" w:space="0" w:color="59237B"/>
            </w:tcBorders>
          </w:tcPr>
          <w:p w14:paraId="05961FB4" w14:textId="38E78574" w:rsidR="00830765" w:rsidRPr="00055F8C" w:rsidRDefault="00464A02" w:rsidP="00B35ADB">
            <w:pPr>
              <w:spacing w:before="120" w:after="120"/>
              <w:rPr>
                <w:rFonts w:cstheme="minorHAnsi"/>
                <w:szCs w:val="22"/>
              </w:rPr>
            </w:pPr>
            <w:r>
              <w:rPr>
                <w:rFonts w:cstheme="minorHAnsi"/>
                <w:szCs w:val="22"/>
              </w:rPr>
              <w:t xml:space="preserve">Broaden </w:t>
            </w:r>
            <w:r w:rsidR="00830765">
              <w:rPr>
                <w:rFonts w:cstheme="minorHAnsi"/>
                <w:szCs w:val="22"/>
              </w:rPr>
              <w:t>e</w:t>
            </w:r>
            <w:r w:rsidR="00830765" w:rsidRPr="00055F8C">
              <w:rPr>
                <w:rFonts w:cstheme="minorHAnsi"/>
                <w:szCs w:val="22"/>
              </w:rPr>
              <w:t xml:space="preserve">ngagement </w:t>
            </w:r>
            <w:r w:rsidR="00830765">
              <w:rPr>
                <w:rFonts w:cstheme="minorHAnsi"/>
                <w:szCs w:val="22"/>
              </w:rPr>
              <w:t xml:space="preserve">opportunities </w:t>
            </w:r>
            <w:r w:rsidR="00830765" w:rsidRPr="00055F8C">
              <w:rPr>
                <w:rFonts w:cstheme="minorHAnsi"/>
                <w:szCs w:val="22"/>
              </w:rPr>
              <w:t xml:space="preserve">to further explore the issues of the aged care system and the underlying evidence to drive prioritisation exercises </w:t>
            </w:r>
          </w:p>
        </w:tc>
      </w:tr>
      <w:tr w:rsidR="00830765" w:rsidRPr="00A526DA" w14:paraId="32496427" w14:textId="77777777" w:rsidTr="00B35ADB">
        <w:tc>
          <w:tcPr>
            <w:tcW w:w="2977" w:type="dxa"/>
            <w:tcBorders>
              <w:top w:val="single" w:sz="12" w:space="0" w:color="59237B"/>
              <w:left w:val="single" w:sz="12" w:space="0" w:color="59237B"/>
              <w:bottom w:val="single" w:sz="12" w:space="0" w:color="59237B"/>
              <w:right w:val="nil"/>
            </w:tcBorders>
          </w:tcPr>
          <w:p w14:paraId="36483928" w14:textId="77777777" w:rsidR="00830765" w:rsidRPr="00055F8C" w:rsidRDefault="00830765" w:rsidP="00B35ADB">
            <w:pPr>
              <w:spacing w:before="120" w:after="120"/>
              <w:rPr>
                <w:rFonts w:cstheme="minorHAnsi"/>
                <w:szCs w:val="22"/>
              </w:rPr>
            </w:pPr>
            <w:r>
              <w:rPr>
                <w:rFonts w:cstheme="minorHAnsi"/>
                <w:szCs w:val="22"/>
              </w:rPr>
              <w:t>Consumer engagement</w:t>
            </w:r>
          </w:p>
        </w:tc>
        <w:tc>
          <w:tcPr>
            <w:tcW w:w="6662" w:type="dxa"/>
            <w:tcBorders>
              <w:top w:val="single" w:sz="12" w:space="0" w:color="59237B"/>
              <w:left w:val="nil"/>
              <w:bottom w:val="single" w:sz="12" w:space="0" w:color="59237B"/>
              <w:right w:val="single" w:sz="12" w:space="0" w:color="59237B"/>
            </w:tcBorders>
          </w:tcPr>
          <w:p w14:paraId="0BC57C97" w14:textId="0FF8D1C4" w:rsidR="00830765" w:rsidRPr="00055F8C" w:rsidRDefault="00830765" w:rsidP="00B35ADB">
            <w:pPr>
              <w:spacing w:before="120" w:after="120"/>
              <w:rPr>
                <w:rFonts w:cstheme="minorHAnsi"/>
                <w:szCs w:val="22"/>
              </w:rPr>
            </w:pPr>
            <w:r>
              <w:t xml:space="preserve">The Inspector-General is actively considering alternative mechanisms to facilitate appropriate access and engagement opportunities for a broader range of consumers, including those with </w:t>
            </w:r>
            <w:r w:rsidR="00464A02">
              <w:t>limited or no access to the internet for a variety of reasons</w:t>
            </w:r>
          </w:p>
        </w:tc>
      </w:tr>
      <w:tr w:rsidR="00830765" w:rsidRPr="00A526DA" w14:paraId="2F217F9A" w14:textId="77777777" w:rsidTr="00B35ADB">
        <w:tc>
          <w:tcPr>
            <w:tcW w:w="2977" w:type="dxa"/>
            <w:tcBorders>
              <w:top w:val="single" w:sz="12" w:space="0" w:color="59237B"/>
              <w:left w:val="nil"/>
              <w:bottom w:val="nil"/>
              <w:right w:val="nil"/>
            </w:tcBorders>
          </w:tcPr>
          <w:p w14:paraId="449407F5" w14:textId="77777777" w:rsidR="00830765" w:rsidRPr="00A526DA" w:rsidRDefault="00830765" w:rsidP="00B35ADB">
            <w:pPr>
              <w:autoSpaceDE w:val="0"/>
              <w:autoSpaceDN w:val="0"/>
              <w:adjustRightInd w:val="0"/>
              <w:rPr>
                <w:rFonts w:cstheme="minorHAnsi"/>
                <w:sz w:val="20"/>
                <w:szCs w:val="20"/>
              </w:rPr>
            </w:pPr>
          </w:p>
        </w:tc>
        <w:tc>
          <w:tcPr>
            <w:tcW w:w="6662" w:type="dxa"/>
            <w:tcBorders>
              <w:top w:val="single" w:sz="12" w:space="0" w:color="59237B"/>
              <w:left w:val="nil"/>
              <w:bottom w:val="nil"/>
              <w:right w:val="nil"/>
            </w:tcBorders>
          </w:tcPr>
          <w:p w14:paraId="7E020908" w14:textId="77777777" w:rsidR="00830765" w:rsidRPr="00A526DA" w:rsidRDefault="00830765" w:rsidP="00B35ADB">
            <w:pPr>
              <w:autoSpaceDE w:val="0"/>
              <w:autoSpaceDN w:val="0"/>
              <w:adjustRightInd w:val="0"/>
              <w:rPr>
                <w:rFonts w:cstheme="minorHAnsi"/>
                <w:sz w:val="20"/>
                <w:szCs w:val="20"/>
              </w:rPr>
            </w:pPr>
          </w:p>
        </w:tc>
      </w:tr>
    </w:tbl>
    <w:p w14:paraId="72BC5057" w14:textId="77777777" w:rsidR="00280050" w:rsidRDefault="00280050" w:rsidP="00FA1968"/>
    <w:sectPr w:rsidR="00280050" w:rsidSect="00A52D2B">
      <w:headerReference w:type="default" r:id="rId11"/>
      <w:footerReference w:type="default" r:id="rId12"/>
      <w:headerReference w:type="first" r:id="rId13"/>
      <w:footerReference w:type="first" r:id="rId14"/>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1F2A7" w14:textId="77777777" w:rsidR="00E21744" w:rsidRDefault="00E21744">
      <w:pPr>
        <w:spacing w:after="0" w:line="240" w:lineRule="auto"/>
      </w:pPr>
      <w:r>
        <w:separator/>
      </w:r>
    </w:p>
  </w:endnote>
  <w:endnote w:type="continuationSeparator" w:id="0">
    <w:p w14:paraId="34631790" w14:textId="77777777" w:rsidR="00E21744" w:rsidRDefault="00E21744">
      <w:pPr>
        <w:spacing w:after="0" w:line="240" w:lineRule="auto"/>
      </w:pPr>
      <w:r>
        <w:continuationSeparator/>
      </w:r>
    </w:p>
  </w:endnote>
  <w:endnote w:type="continuationNotice" w:id="1">
    <w:p w14:paraId="289476B6" w14:textId="77777777" w:rsidR="00E21744" w:rsidRDefault="00E217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BD556" w14:textId="27B045C8" w:rsidR="007B1F4A" w:rsidRDefault="00F823AC">
    <w:pPr>
      <w:pStyle w:val="Footer"/>
    </w:pPr>
    <w:r>
      <w:rPr>
        <w:noProof/>
      </w:rPr>
      <w:drawing>
        <wp:anchor distT="0" distB="0" distL="114300" distR="114300" simplePos="0" relativeHeight="251658752" behindDoc="1" locked="0" layoutInCell="1" allowOverlap="1" wp14:anchorId="57C3551D" wp14:editId="3175C553">
          <wp:simplePos x="0" y="0"/>
          <wp:positionH relativeFrom="column">
            <wp:posOffset>-657225</wp:posOffset>
          </wp:positionH>
          <wp:positionV relativeFrom="paragraph">
            <wp:posOffset>-1270000</wp:posOffset>
          </wp:positionV>
          <wp:extent cx="7526598" cy="1907540"/>
          <wp:effectExtent l="0" t="0" r="0" b="0"/>
          <wp:wrapNone/>
          <wp:docPr id="1196070458" name="Picture 11960704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70458" name="Picture 1196070458">
                    <a:extLst>
                      <a:ext uri="{C183D7F6-B498-43B3-948B-1728B52AA6E4}">
                        <adec:decorative xmlns:adec="http://schemas.microsoft.com/office/drawing/2017/decorative" val="1"/>
                      </a:ext>
                    </a:extLst>
                  </pic:cNvPr>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7526598" cy="19075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AB369" w14:textId="77777777" w:rsidR="007B1F4A" w:rsidRDefault="00F823AC">
    <w:pPr>
      <w:pStyle w:val="Footer"/>
    </w:pPr>
    <w:r>
      <w:rPr>
        <w:noProof/>
      </w:rPr>
      <w:drawing>
        <wp:anchor distT="0" distB="0" distL="114300" distR="114300" simplePos="0" relativeHeight="251656704" behindDoc="1" locked="0" layoutInCell="1" allowOverlap="1" wp14:anchorId="6A69E816" wp14:editId="771E3412">
          <wp:simplePos x="0" y="0"/>
          <wp:positionH relativeFrom="column">
            <wp:posOffset>-704850</wp:posOffset>
          </wp:positionH>
          <wp:positionV relativeFrom="paragraph">
            <wp:posOffset>137160</wp:posOffset>
          </wp:positionV>
          <wp:extent cx="7562850" cy="478184"/>
          <wp:effectExtent l="0" t="0" r="0" b="0"/>
          <wp:wrapNone/>
          <wp:docPr id="399329910" name="Picture 3993299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29910" name="Picture 3993299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47818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4596A" w14:textId="77777777" w:rsidR="00E21744" w:rsidRDefault="00E21744">
      <w:pPr>
        <w:spacing w:after="0" w:line="240" w:lineRule="auto"/>
      </w:pPr>
      <w:r>
        <w:separator/>
      </w:r>
    </w:p>
  </w:footnote>
  <w:footnote w:type="continuationSeparator" w:id="0">
    <w:p w14:paraId="68872FB3" w14:textId="77777777" w:rsidR="00E21744" w:rsidRDefault="00E21744">
      <w:pPr>
        <w:spacing w:after="0" w:line="240" w:lineRule="auto"/>
      </w:pPr>
      <w:r>
        <w:continuationSeparator/>
      </w:r>
    </w:p>
  </w:footnote>
  <w:footnote w:type="continuationNotice" w:id="1">
    <w:p w14:paraId="60C595CE" w14:textId="77777777" w:rsidR="00E21744" w:rsidRDefault="00E217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920480"/>
      <w:docPartObj>
        <w:docPartGallery w:val="Page Numbers (Top of Page)"/>
        <w:docPartUnique/>
      </w:docPartObj>
    </w:sdtPr>
    <w:sdtEndPr>
      <w:rPr>
        <w:noProof/>
      </w:rPr>
    </w:sdtEndPr>
    <w:sdtContent>
      <w:p w14:paraId="328BAEE6" w14:textId="2E224D71" w:rsidR="00A52D2B" w:rsidRDefault="00A52D2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9B12A8" w14:textId="77777777" w:rsidR="007B1F4A" w:rsidRPr="00412E56" w:rsidRDefault="007B1F4A" w:rsidP="00EC7FB3">
    <w:pPr>
      <w:pStyle w:val="Header"/>
      <w:jc w:val="center"/>
      <w:rPr>
        <w:rFonts w:ascii="Arial" w:hAnsi="Arial" w:cs="Arial"/>
        <w:b/>
        <w:bCs/>
        <w:sz w:val="32"/>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45EBD" w14:textId="37331D05" w:rsidR="007B1F4A" w:rsidRDefault="00F823AC">
    <w:pPr>
      <w:pStyle w:val="Header"/>
    </w:pPr>
    <w:r>
      <w:rPr>
        <w:noProof/>
      </w:rPr>
      <w:drawing>
        <wp:anchor distT="0" distB="0" distL="114300" distR="114300" simplePos="0" relativeHeight="251655680" behindDoc="1" locked="0" layoutInCell="1" allowOverlap="1" wp14:anchorId="06A8BE44" wp14:editId="0E1FDAEB">
          <wp:simplePos x="0" y="0"/>
          <wp:positionH relativeFrom="column">
            <wp:posOffset>-771525</wp:posOffset>
          </wp:positionH>
          <wp:positionV relativeFrom="paragraph">
            <wp:posOffset>-448945</wp:posOffset>
          </wp:positionV>
          <wp:extent cx="7628394" cy="882869"/>
          <wp:effectExtent l="0" t="0" r="0" b="0"/>
          <wp:wrapNone/>
          <wp:docPr id="1532738207" name="Picture 1532738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738207" name="Picture 153273820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394" cy="8828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07929"/>
    <w:multiLevelType w:val="hybridMultilevel"/>
    <w:tmpl w:val="1CC4E4F8"/>
    <w:lvl w:ilvl="0" w:tplc="39B8D6D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6534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65"/>
    <w:rsid w:val="000510CE"/>
    <w:rsid w:val="00061AEE"/>
    <w:rsid w:val="0010129E"/>
    <w:rsid w:val="001A33FE"/>
    <w:rsid w:val="001E0313"/>
    <w:rsid w:val="001E4F78"/>
    <w:rsid w:val="00280050"/>
    <w:rsid w:val="002B0298"/>
    <w:rsid w:val="002B4936"/>
    <w:rsid w:val="003615C8"/>
    <w:rsid w:val="00387402"/>
    <w:rsid w:val="0041133F"/>
    <w:rsid w:val="00464A02"/>
    <w:rsid w:val="0048098D"/>
    <w:rsid w:val="004D05B3"/>
    <w:rsid w:val="004D5DDA"/>
    <w:rsid w:val="00515A90"/>
    <w:rsid w:val="00525F4F"/>
    <w:rsid w:val="005652DE"/>
    <w:rsid w:val="005B3925"/>
    <w:rsid w:val="005C0924"/>
    <w:rsid w:val="005C1714"/>
    <w:rsid w:val="005D2FCD"/>
    <w:rsid w:val="00655262"/>
    <w:rsid w:val="0066485C"/>
    <w:rsid w:val="006927BD"/>
    <w:rsid w:val="006B49DE"/>
    <w:rsid w:val="006F64B2"/>
    <w:rsid w:val="00725E05"/>
    <w:rsid w:val="0073568B"/>
    <w:rsid w:val="007B1F4A"/>
    <w:rsid w:val="007C4A37"/>
    <w:rsid w:val="007C7D06"/>
    <w:rsid w:val="008008C1"/>
    <w:rsid w:val="00817CAF"/>
    <w:rsid w:val="00830765"/>
    <w:rsid w:val="00831204"/>
    <w:rsid w:val="0087753A"/>
    <w:rsid w:val="00884962"/>
    <w:rsid w:val="008A19B7"/>
    <w:rsid w:val="008D68CD"/>
    <w:rsid w:val="00907C48"/>
    <w:rsid w:val="009B4E8D"/>
    <w:rsid w:val="009C133A"/>
    <w:rsid w:val="009D7812"/>
    <w:rsid w:val="00A05BBC"/>
    <w:rsid w:val="00A32968"/>
    <w:rsid w:val="00A46EB9"/>
    <w:rsid w:val="00A47903"/>
    <w:rsid w:val="00A514A5"/>
    <w:rsid w:val="00A5276D"/>
    <w:rsid w:val="00A52D2B"/>
    <w:rsid w:val="00A600EA"/>
    <w:rsid w:val="00A66101"/>
    <w:rsid w:val="00A82EB8"/>
    <w:rsid w:val="00AB5CFC"/>
    <w:rsid w:val="00AF3718"/>
    <w:rsid w:val="00AF3C8F"/>
    <w:rsid w:val="00B06249"/>
    <w:rsid w:val="00B70E2D"/>
    <w:rsid w:val="00B80ADF"/>
    <w:rsid w:val="00B958A0"/>
    <w:rsid w:val="00BE56FB"/>
    <w:rsid w:val="00BF0535"/>
    <w:rsid w:val="00BF2986"/>
    <w:rsid w:val="00CB685E"/>
    <w:rsid w:val="00CE7ADF"/>
    <w:rsid w:val="00D20ACF"/>
    <w:rsid w:val="00DB5A11"/>
    <w:rsid w:val="00DC0B81"/>
    <w:rsid w:val="00DD7FFC"/>
    <w:rsid w:val="00E21744"/>
    <w:rsid w:val="00E76D03"/>
    <w:rsid w:val="00E9597B"/>
    <w:rsid w:val="00EA1416"/>
    <w:rsid w:val="00EB6DDF"/>
    <w:rsid w:val="00EC4743"/>
    <w:rsid w:val="00ED1834"/>
    <w:rsid w:val="00EE740F"/>
    <w:rsid w:val="00F11DB6"/>
    <w:rsid w:val="00F1340B"/>
    <w:rsid w:val="00F14D6C"/>
    <w:rsid w:val="00F306AE"/>
    <w:rsid w:val="00F823AC"/>
    <w:rsid w:val="00FA1968"/>
    <w:rsid w:val="00FB5739"/>
    <w:rsid w:val="00FC04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9C8A4"/>
  <w15:chartTrackingRefBased/>
  <w15:docId w15:val="{8136CC3C-8EFF-49E1-88F8-EE083D80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765"/>
    <w:rPr>
      <w:rFonts w:asciiTheme="minorHAnsi" w:hAnsiTheme="minorHAnsi"/>
      <w:kern w:val="0"/>
      <w:sz w:val="22"/>
      <w14:ligatures w14:val="none"/>
    </w:rPr>
  </w:style>
  <w:style w:type="paragraph" w:styleId="Heading1">
    <w:name w:val="heading 1"/>
    <w:basedOn w:val="Normal"/>
    <w:next w:val="Normal"/>
    <w:link w:val="Heading1Char"/>
    <w:uiPriority w:val="9"/>
    <w:qFormat/>
    <w:rsid w:val="00831204"/>
    <w:pPr>
      <w:autoSpaceDE w:val="0"/>
      <w:autoSpaceDN w:val="0"/>
      <w:adjustRightInd w:val="0"/>
      <w:spacing w:before="360"/>
      <w:outlineLvl w:val="0"/>
    </w:pPr>
    <w:rPr>
      <w:rFonts w:cstheme="minorHAnsi"/>
      <w:b/>
      <w:bCs/>
      <w:color w:val="7030A0"/>
      <w:sz w:val="48"/>
      <w:szCs w:val="48"/>
    </w:rPr>
  </w:style>
  <w:style w:type="paragraph" w:styleId="Heading2">
    <w:name w:val="heading 2"/>
    <w:basedOn w:val="Normal"/>
    <w:next w:val="Normal"/>
    <w:link w:val="Heading2Char"/>
    <w:uiPriority w:val="9"/>
    <w:unhideWhenUsed/>
    <w:qFormat/>
    <w:rsid w:val="00831204"/>
    <w:pPr>
      <w:autoSpaceDE w:val="0"/>
      <w:autoSpaceDN w:val="0"/>
      <w:adjustRightInd w:val="0"/>
      <w:spacing w:after="0" w:line="240" w:lineRule="auto"/>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765"/>
    <w:rPr>
      <w:rFonts w:asciiTheme="minorHAnsi" w:hAnsiTheme="minorHAnsi"/>
      <w:kern w:val="0"/>
      <w:sz w:val="22"/>
      <w14:ligatures w14:val="none"/>
    </w:rPr>
  </w:style>
  <w:style w:type="paragraph" w:styleId="Footer">
    <w:name w:val="footer"/>
    <w:basedOn w:val="Normal"/>
    <w:link w:val="FooterChar"/>
    <w:uiPriority w:val="99"/>
    <w:unhideWhenUsed/>
    <w:rsid w:val="00830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765"/>
    <w:rPr>
      <w:rFonts w:asciiTheme="minorHAnsi" w:hAnsiTheme="minorHAnsi"/>
      <w:kern w:val="0"/>
      <w:sz w:val="22"/>
      <w14:ligatures w14:val="non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30765"/>
    <w:pPr>
      <w:ind w:left="720"/>
      <w:contextualSpacing/>
    </w:pPr>
  </w:style>
  <w:style w:type="character" w:customStyle="1" w:styleId="eop">
    <w:name w:val="eop"/>
    <w:basedOn w:val="DefaultParagraphFont"/>
    <w:rsid w:val="00830765"/>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830765"/>
    <w:rPr>
      <w:rFonts w:asciiTheme="minorHAnsi" w:hAnsiTheme="minorHAnsi"/>
      <w:kern w:val="0"/>
      <w:sz w:val="22"/>
      <w14:ligatures w14:val="none"/>
    </w:rPr>
  </w:style>
  <w:style w:type="table" w:styleId="TableGrid">
    <w:name w:val="Table Grid"/>
    <w:basedOn w:val="TableNormal"/>
    <w:uiPriority w:val="39"/>
    <w:rsid w:val="0083076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30765"/>
  </w:style>
  <w:style w:type="paragraph" w:styleId="Revision">
    <w:name w:val="Revision"/>
    <w:hidden/>
    <w:uiPriority w:val="99"/>
    <w:semiHidden/>
    <w:rsid w:val="008D68CD"/>
    <w:pPr>
      <w:spacing w:after="0" w:line="240" w:lineRule="auto"/>
    </w:pPr>
    <w:rPr>
      <w:rFonts w:asciiTheme="minorHAnsi" w:hAnsiTheme="minorHAnsi"/>
      <w:kern w:val="0"/>
      <w:sz w:val="22"/>
      <w14:ligatures w14:val="none"/>
    </w:rPr>
  </w:style>
  <w:style w:type="character" w:customStyle="1" w:styleId="Heading1Char">
    <w:name w:val="Heading 1 Char"/>
    <w:basedOn w:val="DefaultParagraphFont"/>
    <w:link w:val="Heading1"/>
    <w:uiPriority w:val="9"/>
    <w:rsid w:val="00831204"/>
    <w:rPr>
      <w:rFonts w:asciiTheme="minorHAnsi" w:hAnsiTheme="minorHAnsi" w:cstheme="minorHAnsi"/>
      <w:b/>
      <w:bCs/>
      <w:color w:val="7030A0"/>
      <w:kern w:val="0"/>
      <w:sz w:val="48"/>
      <w:szCs w:val="48"/>
      <w14:ligatures w14:val="none"/>
    </w:rPr>
  </w:style>
  <w:style w:type="character" w:customStyle="1" w:styleId="Heading2Char">
    <w:name w:val="Heading 2 Char"/>
    <w:basedOn w:val="DefaultParagraphFont"/>
    <w:link w:val="Heading2"/>
    <w:uiPriority w:val="9"/>
    <w:rsid w:val="00831204"/>
    <w:rPr>
      <w:rFonts w:asciiTheme="minorHAnsi" w:hAnsiTheme="minorHAnsi"/>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2B3C300562B174FBD1AE76DC7D06ED6" ma:contentTypeVersion="" ma:contentTypeDescription="PDMS Document Site Content Type" ma:contentTypeScope="" ma:versionID="00f6da5c70a3311eb4f77962bfdc6ecd">
  <xsd:schema xmlns:xsd="http://www.w3.org/2001/XMLSchema" xmlns:xs="http://www.w3.org/2001/XMLSchema" xmlns:p="http://schemas.microsoft.com/office/2006/metadata/properties" xmlns:ns2="A34BB12C-D592-4B32-B287-A6BC3FB053F2" targetNamespace="http://schemas.microsoft.com/office/2006/metadata/properties" ma:root="true" ma:fieldsID="48d094b3db15044bd89feb99f51b9ab7" ns2:_="">
    <xsd:import namespace="A34BB12C-D592-4B32-B287-A6BC3FB053F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BB12C-D592-4B32-B287-A6BC3FB053F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34BB12C-D592-4B32-B287-A6BC3FB053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A9970-4371-4BAF-9EE2-B1842C29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BB12C-D592-4B32-B287-A6BC3FB05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89CCC-2141-45C2-B243-34FE651A64FB}">
  <ds:schemaRefs>
    <ds:schemaRef ds:uri="http://schemas.microsoft.com/office/2006/metadata/properties"/>
    <ds:schemaRef ds:uri="http://schemas.microsoft.com/office/infopath/2007/PartnerControls"/>
    <ds:schemaRef ds:uri="A34BB12C-D592-4B32-B287-A6BC3FB053F2"/>
  </ds:schemaRefs>
</ds:datastoreItem>
</file>

<file path=customXml/itemProps3.xml><?xml version="1.0" encoding="utf-8"?>
<ds:datastoreItem xmlns:ds="http://schemas.openxmlformats.org/officeDocument/2006/customXml" ds:itemID="{3D82A212-BBFD-4C8E-B7D0-EDD76BB820EE}">
  <ds:schemaRefs>
    <ds:schemaRef ds:uri="http://schemas.microsoft.com/sharepoint/v3/contenttype/forms"/>
  </ds:schemaRefs>
</ds:datastoreItem>
</file>

<file path=customXml/itemProps4.xml><?xml version="1.0" encoding="utf-8"?>
<ds:datastoreItem xmlns:ds="http://schemas.openxmlformats.org/officeDocument/2006/customXml" ds:itemID="{D597AC8D-3D25-49EA-BFC3-9AA72958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Annual Work Plan 2024–25</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Work Plan 2024–25</dc:title>
  <dc:subject>About us</dc:subject>
  <dc:creator>Office of the Inspector General of Aged Care</dc:creator>
  <cp:keywords>OIGAC</cp:keywords>
  <dc:description/>
  <cp:revision>2</cp:revision>
  <dcterms:created xsi:type="dcterms:W3CDTF">2024-09-26T00:19:00Z</dcterms:created>
  <dcterms:modified xsi:type="dcterms:W3CDTF">2024-09-26T00:19:00Z</dcterms:modified>
</cp:coreProperties>
</file>