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2A18" w14:textId="77777777" w:rsidR="009B4A6C" w:rsidRPr="00BF4ECD" w:rsidRDefault="009B4A6C" w:rsidP="0045613D">
      <w:pPr>
        <w:pStyle w:val="Heading1"/>
        <w:rPr>
          <w:rFonts w:ascii="Arial Rounded MT Bold" w:hAnsi="Arial Rounded MT Bold"/>
          <w:color w:val="452669"/>
        </w:rPr>
      </w:pPr>
      <w:r w:rsidRPr="00BF4ECD">
        <w:rPr>
          <w:rFonts w:ascii="Arial Rounded MT Bold" w:hAnsi="Arial Rounded MT Bold"/>
          <w:color w:val="452669"/>
        </w:rPr>
        <w:t>Inspector-General’s Statement of Commitment to the National Agreement on Closing the Gap</w:t>
      </w:r>
    </w:p>
    <w:p w14:paraId="1BD6AFD7" w14:textId="469DFB40" w:rsidR="00190535" w:rsidRDefault="009B4A6C" w:rsidP="00190535">
      <w:pPr>
        <w:spacing w:after="240" w:line="360" w:lineRule="auto"/>
        <w:rPr>
          <w:rFonts w:ascii="Arial" w:hAnsi="Arial" w:cs="Arial"/>
          <w:color w:val="78226D"/>
          <w:sz w:val="28"/>
          <w:szCs w:val="28"/>
        </w:rPr>
      </w:pPr>
      <w:r w:rsidRPr="009B4A6C">
        <w:rPr>
          <w:rFonts w:ascii="Arial" w:hAnsi="Arial" w:cs="Arial"/>
          <w:color w:val="78226D"/>
          <w:sz w:val="28"/>
          <w:szCs w:val="28"/>
        </w:rPr>
        <w:t xml:space="preserve">I affirm that real improvement in aged care in Australia cannot occur without learning from Aboriginal and Torres Strait Islander peoples. For generations, they have modelled how to honour, protect and care for their Elders in ways that are rich in connection, respect and intergenerational responsibility. If we as a country are to collectively achieve the objects of the new </w:t>
      </w:r>
      <w:r w:rsidRPr="009B4A6C">
        <w:rPr>
          <w:rFonts w:ascii="Arial" w:hAnsi="Arial" w:cs="Arial"/>
          <w:i/>
          <w:iCs/>
          <w:color w:val="78226D"/>
          <w:sz w:val="28"/>
          <w:szCs w:val="28"/>
        </w:rPr>
        <w:t xml:space="preserve">Aged Care Act 2024 </w:t>
      </w:r>
      <w:r w:rsidR="00FC5227">
        <w:rPr>
          <w:rFonts w:ascii="Arial" w:hAnsi="Arial" w:cs="Arial"/>
          <w:i/>
          <w:iCs/>
          <w:color w:val="78226D"/>
          <w:sz w:val="28"/>
          <w:szCs w:val="28"/>
        </w:rPr>
        <w:t xml:space="preserve">– </w:t>
      </w:r>
      <w:r w:rsidRPr="009B4A6C">
        <w:rPr>
          <w:rFonts w:ascii="Arial" w:hAnsi="Arial" w:cs="Arial"/>
          <w:color w:val="78226D"/>
          <w:sz w:val="28"/>
          <w:szCs w:val="28"/>
        </w:rPr>
        <w:t xml:space="preserve">particularly respect, dignity, and the right to live a life of meaning </w:t>
      </w:r>
      <w:r w:rsidR="00FC5227">
        <w:rPr>
          <w:rFonts w:ascii="Arial" w:hAnsi="Arial" w:cs="Arial"/>
          <w:color w:val="78226D"/>
          <w:sz w:val="28"/>
          <w:szCs w:val="28"/>
        </w:rPr>
        <w:t xml:space="preserve">– </w:t>
      </w:r>
      <w:r w:rsidRPr="009B4A6C">
        <w:rPr>
          <w:rFonts w:ascii="Arial" w:hAnsi="Arial" w:cs="Arial"/>
          <w:color w:val="78226D"/>
          <w:sz w:val="28"/>
          <w:szCs w:val="28"/>
        </w:rPr>
        <w:t>we have a lot to learn from the knowledge and cultural strength of the world’s oldest continuous cultures.</w:t>
      </w:r>
    </w:p>
    <w:p w14:paraId="695E3515" w14:textId="77777777" w:rsidR="00190535" w:rsidRDefault="009B4A6C" w:rsidP="00190535">
      <w:pPr>
        <w:spacing w:after="240" w:line="360" w:lineRule="auto"/>
        <w:rPr>
          <w:rFonts w:ascii="Arial" w:hAnsi="Arial" w:cs="Arial"/>
        </w:rPr>
      </w:pPr>
      <w:r w:rsidRPr="009B4A6C">
        <w:rPr>
          <w:rFonts w:ascii="Arial" w:hAnsi="Arial" w:cs="Arial"/>
        </w:rPr>
        <w:t xml:space="preserve">This Statement is not a symbolic commitment. It must be visible in how we define our work, how we engage, how we listen, how we hire, and how we report. </w:t>
      </w:r>
    </w:p>
    <w:p w14:paraId="66D80C41" w14:textId="7C7A9C83" w:rsidR="009B4A6C" w:rsidRPr="009B4A6C" w:rsidRDefault="009B4A6C" w:rsidP="00190535">
      <w:pPr>
        <w:spacing w:after="240" w:line="360" w:lineRule="auto"/>
        <w:rPr>
          <w:rFonts w:ascii="Arial" w:hAnsi="Arial" w:cs="Arial"/>
        </w:rPr>
      </w:pPr>
      <w:r w:rsidRPr="009B4A6C">
        <w:rPr>
          <w:rFonts w:ascii="Arial" w:hAnsi="Arial" w:cs="Arial"/>
        </w:rPr>
        <w:t xml:space="preserve">My </w:t>
      </w:r>
      <w:r w:rsidR="00FC5227">
        <w:rPr>
          <w:rFonts w:ascii="Arial" w:hAnsi="Arial" w:cs="Arial"/>
        </w:rPr>
        <w:t>O</w:t>
      </w:r>
      <w:r w:rsidRPr="009B4A6C">
        <w:rPr>
          <w:rFonts w:ascii="Arial" w:hAnsi="Arial" w:cs="Arial"/>
        </w:rPr>
        <w:t>ffice expresses this statement as something to which we expect to be held to account.</w:t>
      </w:r>
    </w:p>
    <w:p w14:paraId="56F4FD13" w14:textId="46420FE1" w:rsidR="00190535" w:rsidRDefault="009B4A6C" w:rsidP="00190535">
      <w:pPr>
        <w:spacing w:after="240" w:line="360" w:lineRule="auto"/>
        <w:rPr>
          <w:rFonts w:ascii="Arial" w:hAnsi="Arial" w:cs="Arial"/>
        </w:rPr>
      </w:pPr>
      <w:r w:rsidRPr="009B4A6C">
        <w:rPr>
          <w:rFonts w:ascii="Arial" w:hAnsi="Arial" w:cs="Arial"/>
        </w:rPr>
        <w:t xml:space="preserve">My </w:t>
      </w:r>
      <w:r w:rsidR="00FC5227">
        <w:rPr>
          <w:rFonts w:ascii="Arial" w:hAnsi="Arial" w:cs="Arial"/>
        </w:rPr>
        <w:t>O</w:t>
      </w:r>
      <w:r w:rsidRPr="009B4A6C">
        <w:rPr>
          <w:rFonts w:ascii="Arial" w:hAnsi="Arial" w:cs="Arial"/>
        </w:rPr>
        <w:t>ffice is unwavering in its commitment to the National Agreement on Closing the Gap (National Agreement). We recognise that improving aged care outcomes for Aboriginal and Torres Strait Islander peoples requires more than consultation—it requires genuine engagement and deep listening that is reflected in action. This means creating space for shared power, time for deep engagement, and embedding Aboriginal and Torres Strait Islander leadership at every stage of our oversight</w:t>
      </w:r>
      <w:r w:rsidR="00FC5227">
        <w:rPr>
          <w:rFonts w:ascii="Arial" w:hAnsi="Arial" w:cs="Arial"/>
        </w:rPr>
        <w:t xml:space="preserve"> – f</w:t>
      </w:r>
      <w:r w:rsidRPr="009B4A6C">
        <w:rPr>
          <w:rFonts w:ascii="Arial" w:hAnsi="Arial" w:cs="Arial"/>
        </w:rPr>
        <w:t>rom how we scope and define issues, to how we analyse findings and propose reforms. It means ensuring our Office does not come at issues with a ‘we know best’ attitude.</w:t>
      </w:r>
    </w:p>
    <w:p w14:paraId="095B0EBB" w14:textId="15F44482" w:rsidR="009B4A6C" w:rsidRPr="009B4A6C" w:rsidRDefault="009B4A6C" w:rsidP="00190535">
      <w:pPr>
        <w:spacing w:after="240" w:line="360" w:lineRule="auto"/>
        <w:rPr>
          <w:rFonts w:ascii="Arial" w:hAnsi="Arial" w:cs="Arial"/>
        </w:rPr>
      </w:pPr>
      <w:r w:rsidRPr="009B4A6C">
        <w:rPr>
          <w:rFonts w:ascii="Arial" w:hAnsi="Arial" w:cs="Arial"/>
        </w:rPr>
        <w:t>The Office of the Inspector-General commits to embedding the four Priority Reforms of the National Agreement throughout our work:</w:t>
      </w:r>
    </w:p>
    <w:p w14:paraId="07A4E728" w14:textId="02738B3D" w:rsidR="009B4A6C" w:rsidRPr="00190535" w:rsidRDefault="009B4A6C" w:rsidP="00190535">
      <w:pPr>
        <w:numPr>
          <w:ilvl w:val="0"/>
          <w:numId w:val="6"/>
        </w:numPr>
        <w:spacing w:after="240" w:line="360" w:lineRule="auto"/>
        <w:rPr>
          <w:rFonts w:ascii="Arial" w:hAnsi="Arial" w:cs="Arial"/>
        </w:rPr>
      </w:pPr>
      <w:r w:rsidRPr="00832683">
        <w:rPr>
          <w:rStyle w:val="Strong"/>
          <w:rFonts w:ascii="Arial" w:hAnsi="Arial" w:cs="Arial"/>
        </w:rPr>
        <w:t xml:space="preserve">Partnership, </w:t>
      </w:r>
      <w:r w:rsidR="00FC5227" w:rsidRPr="00832683">
        <w:rPr>
          <w:rStyle w:val="Strong"/>
          <w:rFonts w:ascii="Arial" w:hAnsi="Arial" w:cs="Arial"/>
        </w:rPr>
        <w:t>E</w:t>
      </w:r>
      <w:r w:rsidRPr="00832683">
        <w:rPr>
          <w:rStyle w:val="Strong"/>
          <w:rFonts w:ascii="Arial" w:hAnsi="Arial" w:cs="Arial"/>
        </w:rPr>
        <w:t>ngagement and Shared Decision-Making</w:t>
      </w:r>
      <w:r w:rsidRPr="00190535">
        <w:rPr>
          <w:rFonts w:ascii="Arial" w:hAnsi="Arial" w:cs="Arial"/>
          <w:b/>
          <w:bCs/>
        </w:rPr>
        <w:br/>
      </w:r>
      <w:r w:rsidRPr="00190535">
        <w:rPr>
          <w:rFonts w:ascii="Arial" w:hAnsi="Arial" w:cs="Arial"/>
        </w:rPr>
        <w:t xml:space="preserve">We will work to partner with Aboriginal and Torres Strait Islander stakeholders and community-controlled </w:t>
      </w:r>
      <w:proofErr w:type="gramStart"/>
      <w:r w:rsidRPr="00190535">
        <w:rPr>
          <w:rFonts w:ascii="Arial" w:hAnsi="Arial" w:cs="Arial"/>
        </w:rPr>
        <w:t>organisations</w:t>
      </w:r>
      <w:proofErr w:type="gramEnd"/>
      <w:r w:rsidRPr="00190535">
        <w:rPr>
          <w:rFonts w:ascii="Arial" w:hAnsi="Arial" w:cs="Arial"/>
        </w:rPr>
        <w:t xml:space="preserve"> and we are committed to engaging, wherever possible, with people who hold firsthand knowledge and lived experience. Shared </w:t>
      </w:r>
      <w:r w:rsidRPr="00190535">
        <w:rPr>
          <w:rFonts w:ascii="Arial" w:hAnsi="Arial" w:cs="Arial"/>
        </w:rPr>
        <w:lastRenderedPageBreak/>
        <w:t>decision-making will be key to our oversight functions wherever possible, including the way we select issues to monitor, investigate and report on, and in how we develop findings and recommendations. When we engage and how we engage will mirror the principles of Priority Reform One. Our engagement will prioritise reciprocity and the concept of ‘</w:t>
      </w:r>
      <w:proofErr w:type="spellStart"/>
      <w:r w:rsidRPr="00190535">
        <w:rPr>
          <w:rFonts w:ascii="Arial" w:hAnsi="Arial" w:cs="Arial"/>
        </w:rPr>
        <w:t>Dadirri</w:t>
      </w:r>
      <w:proofErr w:type="spellEnd"/>
      <w:r w:rsidRPr="00190535">
        <w:rPr>
          <w:rFonts w:ascii="Arial" w:hAnsi="Arial" w:cs="Arial"/>
        </w:rPr>
        <w:t xml:space="preserve">’ – deep, respectful listening grounded in cultural awareness – to foster genuine understanding and connection. </w:t>
      </w:r>
      <w:r w:rsidR="00190535">
        <w:rPr>
          <w:rFonts w:ascii="Arial" w:hAnsi="Arial" w:cs="Arial"/>
        </w:rPr>
        <w:t xml:space="preserve">Learn more about our engagement approach at </w:t>
      </w:r>
      <w:hyperlink r:id="rId11" w:history="1">
        <w:r w:rsidR="00190535" w:rsidRPr="00504A34">
          <w:rPr>
            <w:rStyle w:val="Hyperlink"/>
            <w:rFonts w:ascii="Arial" w:hAnsi="Arial" w:cs="Arial"/>
          </w:rPr>
          <w:t>www.igac.gov.au/get-involved/engagement</w:t>
        </w:r>
      </w:hyperlink>
      <w:r w:rsidRPr="00190535">
        <w:rPr>
          <w:rFonts w:ascii="Arial" w:hAnsi="Arial" w:cs="Arial"/>
        </w:rPr>
        <w:t>.</w:t>
      </w:r>
    </w:p>
    <w:p w14:paraId="50BAF6B7" w14:textId="57ED03F0" w:rsidR="009B4A6C" w:rsidRPr="009B4A6C" w:rsidRDefault="009B4A6C" w:rsidP="00190535">
      <w:pPr>
        <w:numPr>
          <w:ilvl w:val="0"/>
          <w:numId w:val="6"/>
        </w:numPr>
        <w:spacing w:after="240" w:line="360" w:lineRule="auto"/>
        <w:rPr>
          <w:rFonts w:ascii="Arial" w:hAnsi="Arial" w:cs="Arial"/>
        </w:rPr>
      </w:pPr>
      <w:r w:rsidRPr="00832683">
        <w:rPr>
          <w:rStyle w:val="Strong"/>
          <w:rFonts w:ascii="Arial" w:hAnsi="Arial" w:cs="Arial"/>
        </w:rPr>
        <w:t>Building the Community-Controlled Sector</w:t>
      </w:r>
      <w:r w:rsidRPr="009B4A6C">
        <w:rPr>
          <w:rFonts w:ascii="Arial" w:hAnsi="Arial" w:cs="Arial"/>
          <w:b/>
          <w:bCs/>
        </w:rPr>
        <w:br/>
      </w:r>
      <w:r w:rsidRPr="009B4A6C">
        <w:rPr>
          <w:rFonts w:ascii="Arial" w:hAnsi="Arial" w:cs="Arial"/>
        </w:rPr>
        <w:t xml:space="preserve">We actively look for opportunities where Government can grow, strengthen and sustain the Aboriginal and Torres Strait Islander community-controlled aged care sector; both in line with Priority Reform Two of the National Agreement and the recommendations of the Royal Commission into Aged Care Quality and Safety. We recognise Aboriginal </w:t>
      </w:r>
      <w:r w:rsidR="00FC5227">
        <w:rPr>
          <w:rFonts w:ascii="Arial" w:hAnsi="Arial" w:cs="Arial"/>
        </w:rPr>
        <w:t>c</w:t>
      </w:r>
      <w:r w:rsidRPr="009B4A6C">
        <w:rPr>
          <w:rFonts w:ascii="Arial" w:hAnsi="Arial" w:cs="Arial"/>
        </w:rPr>
        <w:t>ommunity</w:t>
      </w:r>
      <w:r w:rsidR="00FC5227">
        <w:rPr>
          <w:rFonts w:ascii="Arial" w:hAnsi="Arial" w:cs="Arial"/>
        </w:rPr>
        <w:t>-c</w:t>
      </w:r>
      <w:r w:rsidRPr="009B4A6C">
        <w:rPr>
          <w:rFonts w:ascii="Arial" w:hAnsi="Arial" w:cs="Arial"/>
        </w:rPr>
        <w:t xml:space="preserve">ontrolled </w:t>
      </w:r>
      <w:r w:rsidR="00FC5227">
        <w:rPr>
          <w:rFonts w:ascii="Arial" w:hAnsi="Arial" w:cs="Arial"/>
        </w:rPr>
        <w:t>o</w:t>
      </w:r>
      <w:r w:rsidRPr="009B4A6C">
        <w:rPr>
          <w:rFonts w:ascii="Arial" w:hAnsi="Arial" w:cs="Arial"/>
        </w:rPr>
        <w:t>rganisations are best placed to deliver care to Aboriginal and Torres Strait Islander peoples that is trusted, community-led, holistic and culturally safe.</w:t>
      </w:r>
    </w:p>
    <w:p w14:paraId="684846CB" w14:textId="77777777" w:rsidR="009B4A6C" w:rsidRPr="009B4A6C" w:rsidRDefault="009B4A6C" w:rsidP="00190535">
      <w:pPr>
        <w:numPr>
          <w:ilvl w:val="0"/>
          <w:numId w:val="6"/>
        </w:numPr>
        <w:spacing w:after="240" w:line="360" w:lineRule="auto"/>
        <w:rPr>
          <w:rFonts w:ascii="Arial" w:hAnsi="Arial" w:cs="Arial"/>
        </w:rPr>
      </w:pPr>
      <w:r w:rsidRPr="00832683">
        <w:rPr>
          <w:rStyle w:val="Strong"/>
          <w:rFonts w:ascii="Arial" w:hAnsi="Arial" w:cs="Arial"/>
        </w:rPr>
        <w:t>Transforming Government Organisations</w:t>
      </w:r>
      <w:r w:rsidRPr="009B4A6C">
        <w:rPr>
          <w:rFonts w:ascii="Arial" w:hAnsi="Arial" w:cs="Arial"/>
        </w:rPr>
        <w:br/>
        <w:t>We strive to ensure our oversight practices are culturally safe, inclusive, and responsive to the diverse Aboriginal and Torres Strait Islander communities we serve. We commit to transforming our own Office into a culturally capable and accountable agency. This includes ongoing development of cultural intelligence and safety for our staff, systems to support Indigenous leadership, and mechanisms for community-informed evaluation of our impact. We are committed to eliminating racism and unconscious bias in the way we conduct our work, and as a distinct outcome of our work. We seek to address colonial load – the ongoing impacts of colonisation – wherever it exists, with honesty, respect and ongoing commitment.</w:t>
      </w:r>
    </w:p>
    <w:p w14:paraId="63CAA2B1" w14:textId="0203CADC" w:rsidR="00190535" w:rsidRPr="00190535" w:rsidRDefault="009B4A6C" w:rsidP="005F339E">
      <w:pPr>
        <w:numPr>
          <w:ilvl w:val="0"/>
          <w:numId w:val="6"/>
        </w:numPr>
        <w:spacing w:after="240" w:line="360" w:lineRule="auto"/>
        <w:rPr>
          <w:rFonts w:ascii="Arial" w:hAnsi="Arial" w:cs="Arial"/>
        </w:rPr>
      </w:pPr>
      <w:r w:rsidRPr="00832683">
        <w:rPr>
          <w:rStyle w:val="Strong"/>
          <w:rFonts w:ascii="Arial" w:hAnsi="Arial" w:cs="Arial"/>
        </w:rPr>
        <w:t>Shared Access to Data and Information</w:t>
      </w:r>
      <w:r w:rsidRPr="00190535">
        <w:rPr>
          <w:rStyle w:val="Strong"/>
          <w:rFonts w:ascii="Arial" w:hAnsi="Arial" w:cs="Arial"/>
        </w:rPr>
        <w:t xml:space="preserve"> </w:t>
      </w:r>
      <w:r w:rsidR="00190535">
        <w:rPr>
          <w:rStyle w:val="Strong"/>
          <w:rFonts w:ascii="Arial" w:hAnsi="Arial" w:cs="Arial"/>
        </w:rPr>
        <w:br/>
      </w:r>
      <w:r w:rsidRPr="00190535">
        <w:rPr>
          <w:rFonts w:ascii="Arial" w:hAnsi="Arial" w:cs="Arial"/>
        </w:rPr>
        <w:t xml:space="preserve">We will support open, transparent and community-governed access to data wherever we possibly can. In monitoring and assessing the adequacy of aged care data, we will also strive for recommendations that enable data sharing with </w:t>
      </w:r>
      <w:r w:rsidR="00FC5227">
        <w:rPr>
          <w:rFonts w:ascii="Arial" w:hAnsi="Arial" w:cs="Arial"/>
        </w:rPr>
        <w:t>Aboriginal community-controlled organisations</w:t>
      </w:r>
      <w:r w:rsidRPr="00190535">
        <w:rPr>
          <w:rFonts w:ascii="Arial" w:hAnsi="Arial" w:cs="Arial"/>
        </w:rPr>
        <w:t xml:space="preserve"> and communities. We will prioritise Aboriginal and Torres Strait Islander ownership of data relevant to aged care wherever we proactively can. We </w:t>
      </w:r>
      <w:r w:rsidRPr="00190535">
        <w:rPr>
          <w:rFonts w:ascii="Arial" w:hAnsi="Arial" w:cs="Arial"/>
        </w:rPr>
        <w:lastRenderedPageBreak/>
        <w:t xml:space="preserve">ascribe to the principles of Indigenous Data Governance and Indigenous Data Sovereignty. We are aligned to the </w:t>
      </w:r>
      <w:hyperlink r:id="rId12" w:history="1">
        <w:proofErr w:type="spellStart"/>
        <w:r w:rsidRPr="00190535">
          <w:rPr>
            <w:rStyle w:val="Hyperlink"/>
            <w:rFonts w:ascii="Arial" w:hAnsi="Arial" w:cs="Arial"/>
          </w:rPr>
          <w:t>Maiam</w:t>
        </w:r>
        <w:proofErr w:type="spellEnd"/>
        <w:r w:rsidRPr="00190535">
          <w:rPr>
            <w:rStyle w:val="Hyperlink"/>
            <w:rFonts w:ascii="Arial" w:hAnsi="Arial" w:cs="Arial"/>
          </w:rPr>
          <w:t xml:space="preserve"> </w:t>
        </w:r>
        <w:proofErr w:type="spellStart"/>
        <w:r w:rsidRPr="00190535">
          <w:rPr>
            <w:rStyle w:val="Hyperlink"/>
            <w:rFonts w:ascii="Arial" w:hAnsi="Arial" w:cs="Arial"/>
          </w:rPr>
          <w:t>nayri</w:t>
        </w:r>
        <w:proofErr w:type="spellEnd"/>
        <w:r w:rsidRPr="00190535">
          <w:rPr>
            <w:rStyle w:val="Hyperlink"/>
            <w:rFonts w:ascii="Arial" w:hAnsi="Arial" w:cs="Arial"/>
          </w:rPr>
          <w:t xml:space="preserve"> </w:t>
        </w:r>
        <w:proofErr w:type="spellStart"/>
        <w:r w:rsidRPr="00190535">
          <w:rPr>
            <w:rStyle w:val="Hyperlink"/>
            <w:rFonts w:ascii="Arial" w:hAnsi="Arial" w:cs="Arial"/>
          </w:rPr>
          <w:t>Wingara</w:t>
        </w:r>
        <w:proofErr w:type="spellEnd"/>
      </w:hyperlink>
      <w:r w:rsidRPr="00190535">
        <w:rPr>
          <w:rFonts w:ascii="Arial" w:hAnsi="Arial" w:cs="Arial"/>
        </w:rPr>
        <w:t xml:space="preserve"> principles, as recommended for all governments in the Productivity Commission’s Review of the National Agreement on Closing the Gap. The FAIR and CARE Principles articulated by the </w:t>
      </w:r>
      <w:hyperlink r:id="rId13" w:history="1">
        <w:r w:rsidRPr="00190535">
          <w:rPr>
            <w:rStyle w:val="Hyperlink"/>
            <w:rFonts w:ascii="Arial" w:hAnsi="Arial" w:cs="Arial"/>
          </w:rPr>
          <w:t>Global Indigenous Data Alliance</w:t>
        </w:r>
      </w:hyperlink>
      <w:r w:rsidRPr="00190535">
        <w:rPr>
          <w:rFonts w:ascii="Arial" w:hAnsi="Arial" w:cs="Arial"/>
        </w:rPr>
        <w:t xml:space="preserve"> are vital to our work, as is the </w:t>
      </w:r>
      <w:r w:rsidR="00190535" w:rsidRPr="00190535">
        <w:rPr>
          <w:rFonts w:ascii="Arial" w:hAnsi="Arial" w:cs="Arial"/>
        </w:rPr>
        <w:t>“</w:t>
      </w:r>
      <w:r w:rsidRPr="00190535">
        <w:rPr>
          <w:rFonts w:ascii="Arial" w:hAnsi="Arial" w:cs="Arial"/>
        </w:rPr>
        <w:t>right to create value from Indigenous data in ways that are grounded in Indigenous worldviews</w:t>
      </w:r>
      <w:r w:rsidR="00190535" w:rsidRPr="00190535">
        <w:rPr>
          <w:rFonts w:ascii="Arial" w:hAnsi="Arial" w:cs="Arial"/>
        </w:rPr>
        <w:t>”</w:t>
      </w:r>
      <w:r w:rsidRPr="00190535">
        <w:rPr>
          <w:rFonts w:ascii="Arial" w:hAnsi="Arial" w:cs="Arial"/>
        </w:rPr>
        <w:t xml:space="preserve"> on which they are based</w:t>
      </w:r>
      <w:r w:rsidR="00190535" w:rsidRPr="00190535">
        <w:rPr>
          <w:rFonts w:ascii="Arial" w:hAnsi="Arial" w:cs="Arial"/>
        </w:rPr>
        <w:t xml:space="preserve">. </w:t>
      </w:r>
    </w:p>
    <w:p w14:paraId="3DEACFA7" w14:textId="0B840BF0" w:rsidR="009B4A6C" w:rsidRPr="009B4A6C" w:rsidRDefault="00190535" w:rsidP="00190535">
      <w:pPr>
        <w:spacing w:after="240" w:line="360" w:lineRule="auto"/>
        <w:ind w:left="360"/>
        <w:rPr>
          <w:rFonts w:ascii="Arial" w:hAnsi="Arial" w:cs="Arial"/>
        </w:rPr>
      </w:pPr>
      <w:r>
        <w:rPr>
          <w:rFonts w:ascii="Arial" w:hAnsi="Arial" w:cs="Arial"/>
        </w:rPr>
        <w:t>W</w:t>
      </w:r>
      <w:r w:rsidR="009B4A6C" w:rsidRPr="009B4A6C">
        <w:rPr>
          <w:rFonts w:ascii="Arial" w:hAnsi="Arial" w:cs="Arial"/>
        </w:rPr>
        <w:t>e also commit to the recommendations of the Productivity Commission’s review of the National Agreement, to which all governments have agreed, including:</w:t>
      </w:r>
    </w:p>
    <w:p w14:paraId="742CFE99" w14:textId="37478891" w:rsidR="009B4A6C" w:rsidRPr="009B4A6C" w:rsidRDefault="009B4A6C" w:rsidP="00190535">
      <w:pPr>
        <w:numPr>
          <w:ilvl w:val="0"/>
          <w:numId w:val="7"/>
        </w:numPr>
        <w:spacing w:after="240" w:line="360" w:lineRule="auto"/>
        <w:rPr>
          <w:rFonts w:ascii="Arial" w:hAnsi="Arial" w:cs="Arial"/>
        </w:rPr>
      </w:pPr>
      <w:r w:rsidRPr="009B4A6C">
        <w:rPr>
          <w:rFonts w:ascii="Arial" w:hAnsi="Arial" w:cs="Arial"/>
        </w:rPr>
        <w:t>Being accountable for outcomes, not just activities, by setting and reporting against measures that reflect the lived experiences of older Aboriginal and Torres Strait Islander people</w:t>
      </w:r>
      <w:r w:rsidR="00190535">
        <w:rPr>
          <w:rFonts w:ascii="Arial" w:hAnsi="Arial" w:cs="Arial"/>
        </w:rPr>
        <w:t>.</w:t>
      </w:r>
    </w:p>
    <w:p w14:paraId="7D3037FA" w14:textId="46CCEA8A" w:rsidR="009B4A6C" w:rsidRPr="009B4A6C" w:rsidRDefault="009B4A6C" w:rsidP="00190535">
      <w:pPr>
        <w:numPr>
          <w:ilvl w:val="0"/>
          <w:numId w:val="7"/>
        </w:numPr>
        <w:spacing w:after="240" w:line="360" w:lineRule="auto"/>
        <w:rPr>
          <w:rFonts w:ascii="Arial" w:hAnsi="Arial" w:cs="Arial"/>
        </w:rPr>
      </w:pPr>
      <w:r w:rsidRPr="009B4A6C">
        <w:rPr>
          <w:rFonts w:ascii="Arial" w:hAnsi="Arial" w:cs="Arial"/>
        </w:rPr>
        <w:t>Resourcing respectful engagement, by allowing adequate time and investment to enable genuine, ongoing participation and dialogue</w:t>
      </w:r>
      <w:r w:rsidR="00190535">
        <w:rPr>
          <w:rFonts w:ascii="Arial" w:hAnsi="Arial" w:cs="Arial"/>
        </w:rPr>
        <w:t>.</w:t>
      </w:r>
    </w:p>
    <w:p w14:paraId="3DE07086" w14:textId="66776279" w:rsidR="009B4A6C" w:rsidRPr="009B4A6C" w:rsidRDefault="009B4A6C" w:rsidP="00190535">
      <w:pPr>
        <w:numPr>
          <w:ilvl w:val="0"/>
          <w:numId w:val="7"/>
        </w:numPr>
        <w:spacing w:after="240" w:line="360" w:lineRule="auto"/>
        <w:rPr>
          <w:rFonts w:ascii="Arial" w:hAnsi="Arial" w:cs="Arial"/>
        </w:rPr>
      </w:pPr>
      <w:r w:rsidRPr="009B4A6C">
        <w:rPr>
          <w:rFonts w:ascii="Arial" w:hAnsi="Arial" w:cs="Arial"/>
        </w:rPr>
        <w:t>Lifting transparency, by publishing how we are performing against our Closing the Gap commitments</w:t>
      </w:r>
      <w:r w:rsidR="00190535">
        <w:rPr>
          <w:rFonts w:ascii="Arial" w:hAnsi="Arial" w:cs="Arial"/>
        </w:rPr>
        <w:t>.</w:t>
      </w:r>
    </w:p>
    <w:p w14:paraId="6649A483" w14:textId="77777777" w:rsidR="009B4A6C" w:rsidRPr="009B4A6C" w:rsidRDefault="009B4A6C" w:rsidP="00190535">
      <w:pPr>
        <w:numPr>
          <w:ilvl w:val="0"/>
          <w:numId w:val="7"/>
        </w:numPr>
        <w:spacing w:after="240" w:line="360" w:lineRule="auto"/>
        <w:rPr>
          <w:rFonts w:ascii="Arial" w:hAnsi="Arial" w:cs="Arial"/>
        </w:rPr>
      </w:pPr>
      <w:r w:rsidRPr="009B4A6C">
        <w:rPr>
          <w:rFonts w:ascii="Arial" w:hAnsi="Arial" w:cs="Arial"/>
        </w:rPr>
        <w:t>Respecting the diversity of lived expertise, by ensuring we hear all voices, including those that have the least opportunity to participate in government processes and consultation.</w:t>
      </w:r>
    </w:p>
    <w:p w14:paraId="3A143910" w14:textId="77777777" w:rsidR="00190535" w:rsidRDefault="009B4A6C" w:rsidP="00190535">
      <w:pPr>
        <w:spacing w:after="240" w:line="360" w:lineRule="auto"/>
        <w:rPr>
          <w:rFonts w:ascii="Arial" w:hAnsi="Arial" w:cs="Arial"/>
        </w:rPr>
      </w:pPr>
      <w:r w:rsidRPr="009B4A6C">
        <w:rPr>
          <w:rFonts w:ascii="Arial" w:hAnsi="Arial" w:cs="Arial"/>
        </w:rPr>
        <w:t>We will measure our success by the trust we build, the integrity of our partnerships, and the change we help to enable for older Aboriginal and Torres Strait Islander people and their families.</w:t>
      </w:r>
    </w:p>
    <w:p w14:paraId="0950793C" w14:textId="77777777" w:rsidR="00190535" w:rsidRDefault="00190535" w:rsidP="00190535">
      <w:pPr>
        <w:spacing w:after="240" w:line="360" w:lineRule="auto"/>
        <w:rPr>
          <w:rFonts w:ascii="Arial" w:hAnsi="Arial" w:cs="Arial"/>
        </w:rPr>
      </w:pPr>
    </w:p>
    <w:p w14:paraId="41BDB490" w14:textId="0199A125" w:rsidR="00CF2864" w:rsidRDefault="00CF2864" w:rsidP="00CF2864">
      <w:pPr>
        <w:spacing w:after="0" w:line="360" w:lineRule="auto"/>
        <w:rPr>
          <w:rFonts w:ascii="Arial" w:hAnsi="Arial" w:cs="Arial"/>
        </w:rPr>
      </w:pPr>
      <w:r>
        <w:rPr>
          <w:rFonts w:ascii="Arial" w:hAnsi="Arial" w:cs="Arial"/>
        </w:rPr>
        <w:t>Natalie Siegel-Brown</w:t>
      </w:r>
    </w:p>
    <w:p w14:paraId="1D5E53E3" w14:textId="46C4DC9E" w:rsidR="00190535" w:rsidRDefault="009B4A6C" w:rsidP="00CF2864">
      <w:pPr>
        <w:spacing w:after="0" w:line="360" w:lineRule="auto"/>
        <w:rPr>
          <w:rFonts w:ascii="Arial" w:hAnsi="Arial" w:cs="Arial"/>
        </w:rPr>
      </w:pPr>
      <w:r w:rsidRPr="009B4A6C">
        <w:rPr>
          <w:rFonts w:ascii="Arial" w:hAnsi="Arial" w:cs="Arial"/>
        </w:rPr>
        <w:t>Inspector-General of Aged Care</w:t>
      </w:r>
      <w:r w:rsidR="00190535">
        <w:rPr>
          <w:rFonts w:ascii="Arial" w:hAnsi="Arial" w:cs="Arial"/>
        </w:rPr>
        <w:t xml:space="preserve"> </w:t>
      </w:r>
    </w:p>
    <w:p w14:paraId="2FD60119" w14:textId="324161FA" w:rsidR="77D20422" w:rsidRDefault="00190535" w:rsidP="00190535">
      <w:pPr>
        <w:spacing w:after="240" w:line="360" w:lineRule="auto"/>
      </w:pPr>
      <w:r>
        <w:rPr>
          <w:rFonts w:ascii="Arial" w:hAnsi="Arial" w:cs="Arial"/>
        </w:rPr>
        <w:t>14 July 2025</w:t>
      </w:r>
    </w:p>
    <w:sectPr w:rsidR="77D20422" w:rsidSect="00114D7C">
      <w:headerReference w:type="even" r:id="rId14"/>
      <w:headerReference w:type="default" r:id="rId15"/>
      <w:footerReference w:type="even" r:id="rId16"/>
      <w:footerReference w:type="default" r:id="rId17"/>
      <w:headerReference w:type="first" r:id="rId18"/>
      <w:footerReference w:type="first" r:id="rId19"/>
      <w:pgSz w:w="11906" w:h="16838"/>
      <w:pgMar w:top="1985" w:right="1080" w:bottom="1440" w:left="1080" w:header="1418" w:footer="340"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6DAB" w14:textId="77777777" w:rsidR="00F53C4D" w:rsidRDefault="00F53C4D" w:rsidP="00F91D73">
      <w:pPr>
        <w:spacing w:after="0" w:line="240" w:lineRule="auto"/>
      </w:pPr>
      <w:r>
        <w:separator/>
      </w:r>
    </w:p>
  </w:endnote>
  <w:endnote w:type="continuationSeparator" w:id="0">
    <w:p w14:paraId="5516AA1C" w14:textId="77777777" w:rsidR="00F53C4D" w:rsidRDefault="00F53C4D" w:rsidP="00F91D73">
      <w:pPr>
        <w:spacing w:after="0" w:line="240" w:lineRule="auto"/>
      </w:pPr>
      <w:r>
        <w:continuationSeparator/>
      </w:r>
    </w:p>
  </w:endnote>
  <w:endnote w:type="continuationNotice" w:id="1">
    <w:p w14:paraId="5C678BD1" w14:textId="77777777" w:rsidR="00F53C4D" w:rsidRDefault="00F53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30E6" w14:textId="77777777" w:rsidR="00A21CF5" w:rsidRDefault="00A21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70"/>
      <w:gridCol w:w="5270"/>
      <w:gridCol w:w="5270"/>
    </w:tblGrid>
    <w:tr w:rsidR="6A36BC9B" w14:paraId="00E4CF39" w14:textId="77777777" w:rsidTr="6A36BC9B">
      <w:trPr>
        <w:trHeight w:val="300"/>
      </w:trPr>
      <w:tc>
        <w:tcPr>
          <w:tcW w:w="5270" w:type="dxa"/>
        </w:tcPr>
        <w:p w14:paraId="683E3ACD" w14:textId="5034FB72" w:rsidR="6A36BC9B" w:rsidRDefault="6A36BC9B" w:rsidP="6A36BC9B">
          <w:pPr>
            <w:pStyle w:val="Header"/>
            <w:ind w:left="-115"/>
          </w:pPr>
        </w:p>
      </w:tc>
      <w:tc>
        <w:tcPr>
          <w:tcW w:w="5270" w:type="dxa"/>
        </w:tcPr>
        <w:p w14:paraId="64353BD7" w14:textId="54DC9EDF" w:rsidR="6A36BC9B" w:rsidRDefault="6A36BC9B" w:rsidP="6A36BC9B">
          <w:pPr>
            <w:pStyle w:val="Header"/>
            <w:jc w:val="center"/>
          </w:pPr>
        </w:p>
      </w:tc>
      <w:tc>
        <w:tcPr>
          <w:tcW w:w="5270" w:type="dxa"/>
        </w:tcPr>
        <w:p w14:paraId="62BB1E12" w14:textId="7182725B" w:rsidR="6A36BC9B" w:rsidRDefault="6A36BC9B" w:rsidP="6A36BC9B">
          <w:pPr>
            <w:pStyle w:val="Header"/>
            <w:ind w:right="-115"/>
            <w:jc w:val="right"/>
          </w:pPr>
        </w:p>
      </w:tc>
    </w:tr>
  </w:tbl>
  <w:p w14:paraId="2CE87527" w14:textId="2F71EA16" w:rsidR="00BB24E2" w:rsidRPr="00703F25" w:rsidRDefault="00872C10" w:rsidP="11CA5475">
    <w:pPr>
      <w:pStyle w:val="Footer"/>
      <w:jc w:val="right"/>
      <w:rPr>
        <w:rFonts w:ascii="Arial" w:hAnsi="Arial" w:cs="Arial"/>
        <w:b/>
        <w:bCs/>
        <w:color w:val="59237B"/>
      </w:rPr>
    </w:pPr>
    <w:r>
      <w:rPr>
        <w:rFonts w:ascii="Arial" w:hAnsi="Arial" w:cs="Arial"/>
        <w:noProof/>
      </w:rPr>
      <w:drawing>
        <wp:anchor distT="0" distB="0" distL="114300" distR="114300" simplePos="0" relativeHeight="251658240" behindDoc="1" locked="0" layoutInCell="1" allowOverlap="1" wp14:anchorId="6D3D20C8" wp14:editId="7C6CA896">
          <wp:simplePos x="0" y="0"/>
          <wp:positionH relativeFrom="page">
            <wp:posOffset>-64135</wp:posOffset>
          </wp:positionH>
          <wp:positionV relativeFrom="paragraph">
            <wp:posOffset>-2752725</wp:posOffset>
          </wp:positionV>
          <wp:extent cx="10748645" cy="3199130"/>
          <wp:effectExtent l="0" t="0" r="0" b="1270"/>
          <wp:wrapNone/>
          <wp:docPr id="2594339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12470"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57940"/>
                  <a:stretch/>
                </pic:blipFill>
                <pic:spPr bwMode="auto">
                  <a:xfrm>
                    <a:off x="0" y="0"/>
                    <a:ext cx="10748645" cy="319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EA93" w14:textId="77777777" w:rsidR="00A21CF5" w:rsidRDefault="00A2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877D" w14:textId="77777777" w:rsidR="00F53C4D" w:rsidRDefault="00F53C4D" w:rsidP="00F91D73">
      <w:pPr>
        <w:spacing w:after="0" w:line="240" w:lineRule="auto"/>
      </w:pPr>
      <w:r>
        <w:separator/>
      </w:r>
    </w:p>
  </w:footnote>
  <w:footnote w:type="continuationSeparator" w:id="0">
    <w:p w14:paraId="257FD8B4" w14:textId="77777777" w:rsidR="00F53C4D" w:rsidRDefault="00F53C4D" w:rsidP="00F91D73">
      <w:pPr>
        <w:spacing w:after="0" w:line="240" w:lineRule="auto"/>
      </w:pPr>
      <w:r>
        <w:continuationSeparator/>
      </w:r>
    </w:p>
  </w:footnote>
  <w:footnote w:type="continuationNotice" w:id="1">
    <w:p w14:paraId="5882241D" w14:textId="77777777" w:rsidR="00F53C4D" w:rsidRDefault="00F53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9A7F" w14:textId="77777777" w:rsidR="00A21CF5" w:rsidRDefault="00A21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E320" w14:textId="176D2ED2" w:rsidR="00EC69AD" w:rsidRDefault="00DF57C7">
    <w:pPr>
      <w:pStyle w:val="Header"/>
    </w:pPr>
    <w:r>
      <w:rPr>
        <w:noProof/>
      </w:rPr>
      <w:drawing>
        <wp:anchor distT="0" distB="0" distL="114300" distR="114300" simplePos="0" relativeHeight="251658242" behindDoc="0" locked="0" layoutInCell="1" allowOverlap="1" wp14:anchorId="046A2EE1" wp14:editId="348AB929">
          <wp:simplePos x="0" y="0"/>
          <wp:positionH relativeFrom="column">
            <wp:posOffset>-396240</wp:posOffset>
          </wp:positionH>
          <wp:positionV relativeFrom="paragraph">
            <wp:posOffset>-718185</wp:posOffset>
          </wp:positionV>
          <wp:extent cx="2959100" cy="591820"/>
          <wp:effectExtent l="0" t="0" r="0" b="0"/>
          <wp:wrapNone/>
          <wp:docPr id="861653437" name="Picture 6"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954687" name="Picture 6" descr="A black and whit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9100" cy="591820"/>
                  </a:xfrm>
                  <a:prstGeom prst="rect">
                    <a:avLst/>
                  </a:prstGeom>
                </pic:spPr>
              </pic:pic>
            </a:graphicData>
          </a:graphic>
        </wp:anchor>
      </w:drawing>
    </w:r>
    <w:r w:rsidR="00703F25">
      <w:rPr>
        <w:noProof/>
      </w:rPr>
      <mc:AlternateContent>
        <mc:Choice Requires="wps">
          <w:drawing>
            <wp:anchor distT="0" distB="0" distL="114300" distR="114300" simplePos="0" relativeHeight="251658241" behindDoc="0" locked="0" layoutInCell="1" allowOverlap="1" wp14:anchorId="321E0ADB" wp14:editId="26A20B51">
              <wp:simplePos x="0" y="0"/>
              <wp:positionH relativeFrom="page">
                <wp:posOffset>6350</wp:posOffset>
              </wp:positionH>
              <wp:positionV relativeFrom="paragraph">
                <wp:posOffset>-897890</wp:posOffset>
              </wp:positionV>
              <wp:extent cx="10675620" cy="923925"/>
              <wp:effectExtent l="0" t="0" r="11430" b="19050"/>
              <wp:wrapNone/>
              <wp:docPr id="147193436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75620" cy="923925"/>
                      </a:xfrm>
                      <a:prstGeom prst="rect">
                        <a:avLst/>
                      </a:prstGeom>
                      <a:solidFill>
                        <a:srgbClr val="59237B"/>
                      </a:solidFill>
                      <a:ln>
                        <a:solidFill>
                          <a:srgbClr val="59237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46F66" id="Rectangle 5" o:spid="_x0000_s1026" alt="&quot;&quot;" style="position:absolute;margin-left:.5pt;margin-top:-70.7pt;width:840.6pt;height:72.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" fillcolor="#59237b" strokecolor="#59237b"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115D" w14:textId="77777777" w:rsidR="00A21CF5" w:rsidRDefault="00A21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4402E"/>
    <w:multiLevelType w:val="hybridMultilevel"/>
    <w:tmpl w:val="E7287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B822E3"/>
    <w:multiLevelType w:val="hybridMultilevel"/>
    <w:tmpl w:val="32EACC0A"/>
    <w:lvl w:ilvl="0" w:tplc="30989340">
      <w:start w:val="1"/>
      <w:numFmt w:val="decimal"/>
      <w:lvlText w:val="%1."/>
      <w:lvlJc w:val="left"/>
      <w:pPr>
        <w:ind w:left="360" w:hanging="360"/>
      </w:pPr>
      <w:rPr>
        <w:b/>
        <w:bCs/>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 w15:restartNumberingAfterBreak="0">
    <w:nsid w:val="2DD50DB8"/>
    <w:multiLevelType w:val="hybridMultilevel"/>
    <w:tmpl w:val="F20EC9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38F8511C"/>
    <w:multiLevelType w:val="hybridMultilevel"/>
    <w:tmpl w:val="E5A69614"/>
    <w:lvl w:ilvl="0" w:tplc="9AD8D9A8">
      <w:start w:val="1"/>
      <w:numFmt w:val="bullet"/>
      <w:lvlText w:val=""/>
      <w:lvlJc w:val="left"/>
      <w:pPr>
        <w:ind w:left="360" w:hanging="360"/>
      </w:pPr>
      <w:rPr>
        <w:rFonts w:ascii="Symbol" w:hAnsi="Symbol"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5A0C3F"/>
    <w:multiLevelType w:val="hybridMultilevel"/>
    <w:tmpl w:val="EFA2E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944098"/>
    <w:multiLevelType w:val="multilevel"/>
    <w:tmpl w:val="9D6A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B6B5A"/>
    <w:multiLevelType w:val="hybridMultilevel"/>
    <w:tmpl w:val="3F1A5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63171993">
    <w:abstractNumId w:val="6"/>
  </w:num>
  <w:num w:numId="2" w16cid:durableId="293484892">
    <w:abstractNumId w:val="5"/>
  </w:num>
  <w:num w:numId="3" w16cid:durableId="1540511800">
    <w:abstractNumId w:val="0"/>
  </w:num>
  <w:num w:numId="4" w16cid:durableId="1347711691">
    <w:abstractNumId w:val="2"/>
  </w:num>
  <w:num w:numId="5" w16cid:durableId="2108576140">
    <w:abstractNumId w:val="3"/>
  </w:num>
  <w:num w:numId="6" w16cid:durableId="95248017">
    <w:abstractNumId w:val="1"/>
  </w:num>
  <w:num w:numId="7" w16cid:durableId="1346127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39"/>
    <w:rsid w:val="00000492"/>
    <w:rsid w:val="000116F1"/>
    <w:rsid w:val="000143A8"/>
    <w:rsid w:val="00014488"/>
    <w:rsid w:val="0001668D"/>
    <w:rsid w:val="00025FF2"/>
    <w:rsid w:val="00035531"/>
    <w:rsid w:val="00036B16"/>
    <w:rsid w:val="00054378"/>
    <w:rsid w:val="0005678E"/>
    <w:rsid w:val="00057992"/>
    <w:rsid w:val="00062511"/>
    <w:rsid w:val="00070D55"/>
    <w:rsid w:val="000713CB"/>
    <w:rsid w:val="000722B6"/>
    <w:rsid w:val="00081276"/>
    <w:rsid w:val="00086A6B"/>
    <w:rsid w:val="000915DC"/>
    <w:rsid w:val="000A31F1"/>
    <w:rsid w:val="000A35DD"/>
    <w:rsid w:val="000A594D"/>
    <w:rsid w:val="000B0BB5"/>
    <w:rsid w:val="000B42FF"/>
    <w:rsid w:val="000E4151"/>
    <w:rsid w:val="000E6D61"/>
    <w:rsid w:val="000E75C2"/>
    <w:rsid w:val="000F6A7D"/>
    <w:rsid w:val="0010125D"/>
    <w:rsid w:val="0011094D"/>
    <w:rsid w:val="00113DB7"/>
    <w:rsid w:val="00114D7C"/>
    <w:rsid w:val="0012016F"/>
    <w:rsid w:val="00122784"/>
    <w:rsid w:val="001435C4"/>
    <w:rsid w:val="001514B5"/>
    <w:rsid w:val="00163520"/>
    <w:rsid w:val="001706F6"/>
    <w:rsid w:val="001725B6"/>
    <w:rsid w:val="00181A05"/>
    <w:rsid w:val="00183846"/>
    <w:rsid w:val="00190535"/>
    <w:rsid w:val="00194172"/>
    <w:rsid w:val="00197687"/>
    <w:rsid w:val="001A4FA3"/>
    <w:rsid w:val="001A6B40"/>
    <w:rsid w:val="001D481B"/>
    <w:rsid w:val="001E777F"/>
    <w:rsid w:val="001F17BE"/>
    <w:rsid w:val="001F5017"/>
    <w:rsid w:val="00200B34"/>
    <w:rsid w:val="0020216E"/>
    <w:rsid w:val="00224863"/>
    <w:rsid w:val="002258D0"/>
    <w:rsid w:val="0023651D"/>
    <w:rsid w:val="00250058"/>
    <w:rsid w:val="00257CAE"/>
    <w:rsid w:val="00265C18"/>
    <w:rsid w:val="002708E8"/>
    <w:rsid w:val="00270CE1"/>
    <w:rsid w:val="00270EF8"/>
    <w:rsid w:val="0027629A"/>
    <w:rsid w:val="00280050"/>
    <w:rsid w:val="002973E3"/>
    <w:rsid w:val="002A0F27"/>
    <w:rsid w:val="002B61FE"/>
    <w:rsid w:val="002C013B"/>
    <w:rsid w:val="002C2CA7"/>
    <w:rsid w:val="002C5565"/>
    <w:rsid w:val="002E38B3"/>
    <w:rsid w:val="002E6F90"/>
    <w:rsid w:val="002F170A"/>
    <w:rsid w:val="00327322"/>
    <w:rsid w:val="003278A3"/>
    <w:rsid w:val="003369A7"/>
    <w:rsid w:val="003462CE"/>
    <w:rsid w:val="003511A6"/>
    <w:rsid w:val="0035304A"/>
    <w:rsid w:val="0036025E"/>
    <w:rsid w:val="00365121"/>
    <w:rsid w:val="0036659C"/>
    <w:rsid w:val="00381E70"/>
    <w:rsid w:val="00383EDF"/>
    <w:rsid w:val="003A153E"/>
    <w:rsid w:val="003C038F"/>
    <w:rsid w:val="003C3071"/>
    <w:rsid w:val="003D211D"/>
    <w:rsid w:val="003D38B9"/>
    <w:rsid w:val="003D55E9"/>
    <w:rsid w:val="003D58DA"/>
    <w:rsid w:val="003D5924"/>
    <w:rsid w:val="003E1575"/>
    <w:rsid w:val="003E3082"/>
    <w:rsid w:val="003E4CAD"/>
    <w:rsid w:val="00400F57"/>
    <w:rsid w:val="004076B2"/>
    <w:rsid w:val="004119A7"/>
    <w:rsid w:val="004128A8"/>
    <w:rsid w:val="00414466"/>
    <w:rsid w:val="00417025"/>
    <w:rsid w:val="00423511"/>
    <w:rsid w:val="00427572"/>
    <w:rsid w:val="00442550"/>
    <w:rsid w:val="0045613D"/>
    <w:rsid w:val="00457992"/>
    <w:rsid w:val="00476A12"/>
    <w:rsid w:val="00483089"/>
    <w:rsid w:val="00496C8E"/>
    <w:rsid w:val="004A7A58"/>
    <w:rsid w:val="004B7677"/>
    <w:rsid w:val="004C103F"/>
    <w:rsid w:val="004C54F4"/>
    <w:rsid w:val="004E00D1"/>
    <w:rsid w:val="004E07D8"/>
    <w:rsid w:val="004E6E2B"/>
    <w:rsid w:val="004E72F9"/>
    <w:rsid w:val="004F75E3"/>
    <w:rsid w:val="0050271D"/>
    <w:rsid w:val="00505133"/>
    <w:rsid w:val="005053E6"/>
    <w:rsid w:val="00511D7C"/>
    <w:rsid w:val="00514B6E"/>
    <w:rsid w:val="00520705"/>
    <w:rsid w:val="00522260"/>
    <w:rsid w:val="005227A3"/>
    <w:rsid w:val="00525149"/>
    <w:rsid w:val="005271D1"/>
    <w:rsid w:val="005306E5"/>
    <w:rsid w:val="00535C4D"/>
    <w:rsid w:val="00536F82"/>
    <w:rsid w:val="005427AD"/>
    <w:rsid w:val="0056564A"/>
    <w:rsid w:val="00583E21"/>
    <w:rsid w:val="00585D53"/>
    <w:rsid w:val="00587DC4"/>
    <w:rsid w:val="00595E41"/>
    <w:rsid w:val="005A0121"/>
    <w:rsid w:val="005A4DBD"/>
    <w:rsid w:val="005A572A"/>
    <w:rsid w:val="005C50F0"/>
    <w:rsid w:val="005C7C7F"/>
    <w:rsid w:val="005D6BD7"/>
    <w:rsid w:val="006108AA"/>
    <w:rsid w:val="00613D28"/>
    <w:rsid w:val="0062470D"/>
    <w:rsid w:val="0065359F"/>
    <w:rsid w:val="00662CB3"/>
    <w:rsid w:val="00664071"/>
    <w:rsid w:val="006712DB"/>
    <w:rsid w:val="00691D45"/>
    <w:rsid w:val="00693041"/>
    <w:rsid w:val="006962F2"/>
    <w:rsid w:val="00696566"/>
    <w:rsid w:val="006A71F2"/>
    <w:rsid w:val="006B72DD"/>
    <w:rsid w:val="006C28DE"/>
    <w:rsid w:val="006D4306"/>
    <w:rsid w:val="006E1298"/>
    <w:rsid w:val="00703F25"/>
    <w:rsid w:val="007070D7"/>
    <w:rsid w:val="0070785D"/>
    <w:rsid w:val="00711FE4"/>
    <w:rsid w:val="0074289E"/>
    <w:rsid w:val="00753888"/>
    <w:rsid w:val="00757BA4"/>
    <w:rsid w:val="00770557"/>
    <w:rsid w:val="00773507"/>
    <w:rsid w:val="00776CEC"/>
    <w:rsid w:val="00786DAE"/>
    <w:rsid w:val="00790302"/>
    <w:rsid w:val="007B06AE"/>
    <w:rsid w:val="007B2294"/>
    <w:rsid w:val="007C62D4"/>
    <w:rsid w:val="007C6368"/>
    <w:rsid w:val="007D37D2"/>
    <w:rsid w:val="007D4512"/>
    <w:rsid w:val="007E4486"/>
    <w:rsid w:val="007E56C4"/>
    <w:rsid w:val="007F23E4"/>
    <w:rsid w:val="007F611D"/>
    <w:rsid w:val="0081662E"/>
    <w:rsid w:val="00820B48"/>
    <w:rsid w:val="00821176"/>
    <w:rsid w:val="00832683"/>
    <w:rsid w:val="00835D70"/>
    <w:rsid w:val="00840FB7"/>
    <w:rsid w:val="0084100A"/>
    <w:rsid w:val="0084790E"/>
    <w:rsid w:val="00860A94"/>
    <w:rsid w:val="0086104D"/>
    <w:rsid w:val="008629BE"/>
    <w:rsid w:val="00863232"/>
    <w:rsid w:val="00872C10"/>
    <w:rsid w:val="0087483B"/>
    <w:rsid w:val="00895B36"/>
    <w:rsid w:val="008A6710"/>
    <w:rsid w:val="008A7D8B"/>
    <w:rsid w:val="008B67C4"/>
    <w:rsid w:val="008C3774"/>
    <w:rsid w:val="008C58E2"/>
    <w:rsid w:val="008C6B2F"/>
    <w:rsid w:val="008C74A6"/>
    <w:rsid w:val="008D1E17"/>
    <w:rsid w:val="008F23CB"/>
    <w:rsid w:val="008F70DD"/>
    <w:rsid w:val="009069F0"/>
    <w:rsid w:val="0091215D"/>
    <w:rsid w:val="009210B1"/>
    <w:rsid w:val="009501CD"/>
    <w:rsid w:val="009540CA"/>
    <w:rsid w:val="00961FB4"/>
    <w:rsid w:val="00961FE0"/>
    <w:rsid w:val="009626EE"/>
    <w:rsid w:val="0096485F"/>
    <w:rsid w:val="00971733"/>
    <w:rsid w:val="00983B90"/>
    <w:rsid w:val="0098672D"/>
    <w:rsid w:val="0099031B"/>
    <w:rsid w:val="009923BF"/>
    <w:rsid w:val="009965B0"/>
    <w:rsid w:val="009B1EF7"/>
    <w:rsid w:val="009B2A0B"/>
    <w:rsid w:val="009B34E3"/>
    <w:rsid w:val="009B4A6C"/>
    <w:rsid w:val="009B6313"/>
    <w:rsid w:val="009D175C"/>
    <w:rsid w:val="009D2573"/>
    <w:rsid w:val="009E3E2C"/>
    <w:rsid w:val="009E4CC6"/>
    <w:rsid w:val="009F383A"/>
    <w:rsid w:val="00A12539"/>
    <w:rsid w:val="00A13CB8"/>
    <w:rsid w:val="00A21CF5"/>
    <w:rsid w:val="00A275FA"/>
    <w:rsid w:val="00A31CDA"/>
    <w:rsid w:val="00A32411"/>
    <w:rsid w:val="00A32F99"/>
    <w:rsid w:val="00A6225A"/>
    <w:rsid w:val="00A762A0"/>
    <w:rsid w:val="00A96292"/>
    <w:rsid w:val="00AB20E2"/>
    <w:rsid w:val="00AB404F"/>
    <w:rsid w:val="00AB7E0B"/>
    <w:rsid w:val="00AC58E3"/>
    <w:rsid w:val="00AD105A"/>
    <w:rsid w:val="00AF1AF1"/>
    <w:rsid w:val="00B13AF3"/>
    <w:rsid w:val="00B23AC8"/>
    <w:rsid w:val="00B346D8"/>
    <w:rsid w:val="00B40568"/>
    <w:rsid w:val="00B41138"/>
    <w:rsid w:val="00B461D7"/>
    <w:rsid w:val="00B50A29"/>
    <w:rsid w:val="00B63311"/>
    <w:rsid w:val="00B635BB"/>
    <w:rsid w:val="00B705B7"/>
    <w:rsid w:val="00B729C4"/>
    <w:rsid w:val="00B81435"/>
    <w:rsid w:val="00B82AE3"/>
    <w:rsid w:val="00BA3BF2"/>
    <w:rsid w:val="00BB24E2"/>
    <w:rsid w:val="00BC4CE4"/>
    <w:rsid w:val="00BD2C07"/>
    <w:rsid w:val="00BF2591"/>
    <w:rsid w:val="00BF4ECD"/>
    <w:rsid w:val="00C0413D"/>
    <w:rsid w:val="00C049BE"/>
    <w:rsid w:val="00C2104B"/>
    <w:rsid w:val="00C21D05"/>
    <w:rsid w:val="00C24B40"/>
    <w:rsid w:val="00C41A6B"/>
    <w:rsid w:val="00C44310"/>
    <w:rsid w:val="00C454ED"/>
    <w:rsid w:val="00C4640A"/>
    <w:rsid w:val="00C5009F"/>
    <w:rsid w:val="00C55F9B"/>
    <w:rsid w:val="00C67100"/>
    <w:rsid w:val="00C82470"/>
    <w:rsid w:val="00C85453"/>
    <w:rsid w:val="00C878ED"/>
    <w:rsid w:val="00C93238"/>
    <w:rsid w:val="00CA3D2F"/>
    <w:rsid w:val="00CA709D"/>
    <w:rsid w:val="00CC7BF2"/>
    <w:rsid w:val="00CD5437"/>
    <w:rsid w:val="00CD5E09"/>
    <w:rsid w:val="00CD636E"/>
    <w:rsid w:val="00CE2C18"/>
    <w:rsid w:val="00CE752B"/>
    <w:rsid w:val="00CF2864"/>
    <w:rsid w:val="00CF3922"/>
    <w:rsid w:val="00CF551F"/>
    <w:rsid w:val="00D02A8B"/>
    <w:rsid w:val="00D037C9"/>
    <w:rsid w:val="00D0439A"/>
    <w:rsid w:val="00D107B8"/>
    <w:rsid w:val="00D10DC4"/>
    <w:rsid w:val="00D11336"/>
    <w:rsid w:val="00D14AEE"/>
    <w:rsid w:val="00D35877"/>
    <w:rsid w:val="00D35BEE"/>
    <w:rsid w:val="00D415E2"/>
    <w:rsid w:val="00D57CB4"/>
    <w:rsid w:val="00D733DB"/>
    <w:rsid w:val="00D80B4B"/>
    <w:rsid w:val="00D93ABC"/>
    <w:rsid w:val="00D95C04"/>
    <w:rsid w:val="00D975EB"/>
    <w:rsid w:val="00DA5E9A"/>
    <w:rsid w:val="00DB077C"/>
    <w:rsid w:val="00DB384F"/>
    <w:rsid w:val="00DB7182"/>
    <w:rsid w:val="00DC4F2A"/>
    <w:rsid w:val="00DD3075"/>
    <w:rsid w:val="00DD6ED6"/>
    <w:rsid w:val="00DD7525"/>
    <w:rsid w:val="00DF145A"/>
    <w:rsid w:val="00DF3C01"/>
    <w:rsid w:val="00DF57C7"/>
    <w:rsid w:val="00E02EAA"/>
    <w:rsid w:val="00E05A2A"/>
    <w:rsid w:val="00E05C98"/>
    <w:rsid w:val="00E06045"/>
    <w:rsid w:val="00E1200E"/>
    <w:rsid w:val="00E139AA"/>
    <w:rsid w:val="00E269B5"/>
    <w:rsid w:val="00E33F0F"/>
    <w:rsid w:val="00E3490B"/>
    <w:rsid w:val="00E50438"/>
    <w:rsid w:val="00E50AB6"/>
    <w:rsid w:val="00E55F0B"/>
    <w:rsid w:val="00E565C2"/>
    <w:rsid w:val="00E70DB2"/>
    <w:rsid w:val="00E7215E"/>
    <w:rsid w:val="00E81D0E"/>
    <w:rsid w:val="00E84BDA"/>
    <w:rsid w:val="00E855B2"/>
    <w:rsid w:val="00E877DF"/>
    <w:rsid w:val="00EA2D16"/>
    <w:rsid w:val="00EA74D8"/>
    <w:rsid w:val="00EB209E"/>
    <w:rsid w:val="00EB3B8D"/>
    <w:rsid w:val="00EC2A41"/>
    <w:rsid w:val="00EC675A"/>
    <w:rsid w:val="00EC69AD"/>
    <w:rsid w:val="00ED4FE2"/>
    <w:rsid w:val="00ED64FA"/>
    <w:rsid w:val="00EE20AD"/>
    <w:rsid w:val="00EF1ADE"/>
    <w:rsid w:val="00F00B16"/>
    <w:rsid w:val="00F03395"/>
    <w:rsid w:val="00F06705"/>
    <w:rsid w:val="00F11EFD"/>
    <w:rsid w:val="00F14D6C"/>
    <w:rsid w:val="00F23BB3"/>
    <w:rsid w:val="00F30124"/>
    <w:rsid w:val="00F3169F"/>
    <w:rsid w:val="00F33BFD"/>
    <w:rsid w:val="00F36361"/>
    <w:rsid w:val="00F45A04"/>
    <w:rsid w:val="00F47FD1"/>
    <w:rsid w:val="00F53C4D"/>
    <w:rsid w:val="00F66CB4"/>
    <w:rsid w:val="00F734D6"/>
    <w:rsid w:val="00F7356F"/>
    <w:rsid w:val="00F75DFF"/>
    <w:rsid w:val="00F769C8"/>
    <w:rsid w:val="00F82A80"/>
    <w:rsid w:val="00F90368"/>
    <w:rsid w:val="00F90480"/>
    <w:rsid w:val="00F91D73"/>
    <w:rsid w:val="00F92D4D"/>
    <w:rsid w:val="00F94B25"/>
    <w:rsid w:val="00F97406"/>
    <w:rsid w:val="00FA5B57"/>
    <w:rsid w:val="00FA74F8"/>
    <w:rsid w:val="00FB5208"/>
    <w:rsid w:val="00FB619D"/>
    <w:rsid w:val="00FC12F7"/>
    <w:rsid w:val="00FC5227"/>
    <w:rsid w:val="00FC57E1"/>
    <w:rsid w:val="00FD4D5F"/>
    <w:rsid w:val="00FD5759"/>
    <w:rsid w:val="0648F137"/>
    <w:rsid w:val="084B3C98"/>
    <w:rsid w:val="0A4B6158"/>
    <w:rsid w:val="107CFF5E"/>
    <w:rsid w:val="11CA5475"/>
    <w:rsid w:val="3131E5F2"/>
    <w:rsid w:val="41FE89B9"/>
    <w:rsid w:val="442BE8E9"/>
    <w:rsid w:val="47890FE9"/>
    <w:rsid w:val="4AE60EAF"/>
    <w:rsid w:val="51ECE8E2"/>
    <w:rsid w:val="62198655"/>
    <w:rsid w:val="65EA09C1"/>
    <w:rsid w:val="6A36BC9B"/>
    <w:rsid w:val="72C5344F"/>
    <w:rsid w:val="77D20422"/>
    <w:rsid w:val="7E106A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889E"/>
  <w15:chartTrackingRefBased/>
  <w15:docId w15:val="{3EA83E76-1A4F-42EA-87EB-C807CF3A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39"/>
  </w:style>
  <w:style w:type="paragraph" w:styleId="Heading1">
    <w:name w:val="heading 1"/>
    <w:basedOn w:val="Normal"/>
    <w:next w:val="Normal"/>
    <w:link w:val="Heading1Char"/>
    <w:uiPriority w:val="9"/>
    <w:qFormat/>
    <w:rsid w:val="00A1253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A1253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1253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1253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253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125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25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25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25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3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A1253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1253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1253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1253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125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25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25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25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2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5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5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2539"/>
    <w:pPr>
      <w:spacing w:before="160"/>
      <w:jc w:val="center"/>
    </w:pPr>
    <w:rPr>
      <w:i/>
      <w:iCs/>
      <w:color w:val="404040" w:themeColor="text1" w:themeTint="BF"/>
    </w:rPr>
  </w:style>
  <w:style w:type="character" w:customStyle="1" w:styleId="QuoteChar">
    <w:name w:val="Quote Char"/>
    <w:basedOn w:val="DefaultParagraphFont"/>
    <w:link w:val="Quote"/>
    <w:uiPriority w:val="29"/>
    <w:rsid w:val="00A12539"/>
    <w:rPr>
      <w:i/>
      <w:iCs/>
      <w:color w:val="404040" w:themeColor="text1" w:themeTint="BF"/>
    </w:rPr>
  </w:style>
  <w:style w:type="paragraph" w:styleId="ListParagraph">
    <w:name w:val="List Paragraph"/>
    <w:basedOn w:val="Normal"/>
    <w:uiPriority w:val="34"/>
    <w:qFormat/>
    <w:rsid w:val="00A12539"/>
    <w:pPr>
      <w:ind w:left="720"/>
      <w:contextualSpacing/>
    </w:pPr>
  </w:style>
  <w:style w:type="character" w:styleId="IntenseEmphasis">
    <w:name w:val="Intense Emphasis"/>
    <w:basedOn w:val="DefaultParagraphFont"/>
    <w:uiPriority w:val="21"/>
    <w:qFormat/>
    <w:rsid w:val="00A12539"/>
    <w:rPr>
      <w:i/>
      <w:iCs/>
      <w:color w:val="2E74B5" w:themeColor="accent1" w:themeShade="BF"/>
    </w:rPr>
  </w:style>
  <w:style w:type="paragraph" w:styleId="IntenseQuote">
    <w:name w:val="Intense Quote"/>
    <w:basedOn w:val="Normal"/>
    <w:next w:val="Normal"/>
    <w:link w:val="IntenseQuoteChar"/>
    <w:uiPriority w:val="30"/>
    <w:qFormat/>
    <w:rsid w:val="00A1253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12539"/>
    <w:rPr>
      <w:i/>
      <w:iCs/>
      <w:color w:val="2E74B5" w:themeColor="accent1" w:themeShade="BF"/>
    </w:rPr>
  </w:style>
  <w:style w:type="character" w:styleId="IntenseReference">
    <w:name w:val="Intense Reference"/>
    <w:basedOn w:val="DefaultParagraphFont"/>
    <w:uiPriority w:val="32"/>
    <w:qFormat/>
    <w:rsid w:val="00A12539"/>
    <w:rPr>
      <w:b/>
      <w:bCs/>
      <w:smallCaps/>
      <w:color w:val="2E74B5" w:themeColor="accent1" w:themeShade="BF"/>
      <w:spacing w:val="5"/>
    </w:rPr>
  </w:style>
  <w:style w:type="paragraph" w:styleId="Header">
    <w:name w:val="header"/>
    <w:basedOn w:val="Normal"/>
    <w:link w:val="HeaderChar"/>
    <w:uiPriority w:val="99"/>
    <w:unhideWhenUsed/>
    <w:rsid w:val="00F9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D73"/>
  </w:style>
  <w:style w:type="paragraph" w:styleId="Footer">
    <w:name w:val="footer"/>
    <w:basedOn w:val="Normal"/>
    <w:link w:val="FooterChar"/>
    <w:uiPriority w:val="99"/>
    <w:unhideWhenUsed/>
    <w:rsid w:val="00F9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D73"/>
  </w:style>
  <w:style w:type="paragraph" w:styleId="Revision">
    <w:name w:val="Revision"/>
    <w:hidden/>
    <w:uiPriority w:val="99"/>
    <w:semiHidden/>
    <w:rsid w:val="00E1200E"/>
    <w:pPr>
      <w:spacing w:after="0" w:line="240" w:lineRule="auto"/>
    </w:pPr>
  </w:style>
  <w:style w:type="character" w:styleId="CommentReference">
    <w:name w:val="annotation reference"/>
    <w:basedOn w:val="DefaultParagraphFont"/>
    <w:uiPriority w:val="99"/>
    <w:semiHidden/>
    <w:unhideWhenUsed/>
    <w:rsid w:val="00E1200E"/>
    <w:rPr>
      <w:sz w:val="16"/>
      <w:szCs w:val="16"/>
    </w:rPr>
  </w:style>
  <w:style w:type="paragraph" w:styleId="CommentText">
    <w:name w:val="annotation text"/>
    <w:basedOn w:val="Normal"/>
    <w:link w:val="CommentTextChar"/>
    <w:uiPriority w:val="99"/>
    <w:unhideWhenUsed/>
    <w:rsid w:val="00E1200E"/>
    <w:pPr>
      <w:spacing w:line="240" w:lineRule="auto"/>
    </w:pPr>
    <w:rPr>
      <w:sz w:val="20"/>
      <w:szCs w:val="20"/>
    </w:rPr>
  </w:style>
  <w:style w:type="character" w:customStyle="1" w:styleId="CommentTextChar">
    <w:name w:val="Comment Text Char"/>
    <w:basedOn w:val="DefaultParagraphFont"/>
    <w:link w:val="CommentText"/>
    <w:uiPriority w:val="99"/>
    <w:rsid w:val="00E1200E"/>
    <w:rPr>
      <w:sz w:val="20"/>
      <w:szCs w:val="20"/>
    </w:rPr>
  </w:style>
  <w:style w:type="paragraph" w:styleId="CommentSubject">
    <w:name w:val="annotation subject"/>
    <w:basedOn w:val="CommentText"/>
    <w:next w:val="CommentText"/>
    <w:link w:val="CommentSubjectChar"/>
    <w:uiPriority w:val="99"/>
    <w:semiHidden/>
    <w:unhideWhenUsed/>
    <w:rsid w:val="00E1200E"/>
    <w:rPr>
      <w:b/>
      <w:bCs/>
    </w:rPr>
  </w:style>
  <w:style w:type="character" w:customStyle="1" w:styleId="CommentSubjectChar">
    <w:name w:val="Comment Subject Char"/>
    <w:basedOn w:val="CommentTextChar"/>
    <w:link w:val="CommentSubject"/>
    <w:uiPriority w:val="99"/>
    <w:semiHidden/>
    <w:rsid w:val="00E1200E"/>
    <w:rPr>
      <w:b/>
      <w:bCs/>
      <w:sz w:val="20"/>
      <w:szCs w:val="20"/>
    </w:rPr>
  </w:style>
  <w:style w:type="table" w:styleId="TableGrid">
    <w:name w:val="Table Grid"/>
    <w:basedOn w:val="TableNormal"/>
    <w:uiPriority w:val="59"/>
    <w:rsid w:val="00BB24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B4A6C"/>
    <w:rPr>
      <w:color w:val="0563C1" w:themeColor="hyperlink"/>
      <w:u w:val="single"/>
    </w:rPr>
  </w:style>
  <w:style w:type="character" w:styleId="UnresolvedMention">
    <w:name w:val="Unresolved Mention"/>
    <w:basedOn w:val="DefaultParagraphFont"/>
    <w:uiPriority w:val="99"/>
    <w:semiHidden/>
    <w:unhideWhenUsed/>
    <w:rsid w:val="009B4A6C"/>
    <w:rPr>
      <w:color w:val="605E5C"/>
      <w:shd w:val="clear" w:color="auto" w:fill="E1DFDD"/>
    </w:rPr>
  </w:style>
  <w:style w:type="character" w:styleId="Strong">
    <w:name w:val="Strong"/>
    <w:basedOn w:val="DefaultParagraphFont"/>
    <w:uiPriority w:val="22"/>
    <w:qFormat/>
    <w:rsid w:val="009B4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86101">
      <w:bodyDiv w:val="1"/>
      <w:marLeft w:val="0"/>
      <w:marRight w:val="0"/>
      <w:marTop w:val="0"/>
      <w:marBottom w:val="0"/>
      <w:divBdr>
        <w:top w:val="none" w:sz="0" w:space="0" w:color="auto"/>
        <w:left w:val="none" w:sz="0" w:space="0" w:color="auto"/>
        <w:bottom w:val="none" w:sz="0" w:space="0" w:color="auto"/>
        <w:right w:val="none" w:sz="0" w:space="0" w:color="auto"/>
      </w:divBdr>
    </w:div>
    <w:div w:id="562449093">
      <w:bodyDiv w:val="1"/>
      <w:marLeft w:val="0"/>
      <w:marRight w:val="0"/>
      <w:marTop w:val="0"/>
      <w:marBottom w:val="0"/>
      <w:divBdr>
        <w:top w:val="none" w:sz="0" w:space="0" w:color="auto"/>
        <w:left w:val="none" w:sz="0" w:space="0" w:color="auto"/>
        <w:bottom w:val="none" w:sz="0" w:space="0" w:color="auto"/>
        <w:right w:val="none" w:sz="0" w:space="0" w:color="auto"/>
      </w:divBdr>
    </w:div>
    <w:div w:id="596790872">
      <w:bodyDiv w:val="1"/>
      <w:marLeft w:val="0"/>
      <w:marRight w:val="0"/>
      <w:marTop w:val="0"/>
      <w:marBottom w:val="0"/>
      <w:divBdr>
        <w:top w:val="none" w:sz="0" w:space="0" w:color="auto"/>
        <w:left w:val="none" w:sz="0" w:space="0" w:color="auto"/>
        <w:bottom w:val="none" w:sz="0" w:space="0" w:color="auto"/>
        <w:right w:val="none" w:sz="0" w:space="0" w:color="auto"/>
      </w:divBdr>
    </w:div>
    <w:div w:id="743527979">
      <w:bodyDiv w:val="1"/>
      <w:marLeft w:val="0"/>
      <w:marRight w:val="0"/>
      <w:marTop w:val="0"/>
      <w:marBottom w:val="0"/>
      <w:divBdr>
        <w:top w:val="none" w:sz="0" w:space="0" w:color="auto"/>
        <w:left w:val="none" w:sz="0" w:space="0" w:color="auto"/>
        <w:bottom w:val="none" w:sz="0" w:space="0" w:color="auto"/>
        <w:right w:val="none" w:sz="0" w:space="0" w:color="auto"/>
      </w:divBdr>
    </w:div>
    <w:div w:id="865605638">
      <w:bodyDiv w:val="1"/>
      <w:marLeft w:val="0"/>
      <w:marRight w:val="0"/>
      <w:marTop w:val="0"/>
      <w:marBottom w:val="0"/>
      <w:divBdr>
        <w:top w:val="none" w:sz="0" w:space="0" w:color="auto"/>
        <w:left w:val="none" w:sz="0" w:space="0" w:color="auto"/>
        <w:bottom w:val="none" w:sz="0" w:space="0" w:color="auto"/>
        <w:right w:val="none" w:sz="0" w:space="0" w:color="auto"/>
      </w:divBdr>
    </w:div>
    <w:div w:id="1179124420">
      <w:bodyDiv w:val="1"/>
      <w:marLeft w:val="0"/>
      <w:marRight w:val="0"/>
      <w:marTop w:val="0"/>
      <w:marBottom w:val="0"/>
      <w:divBdr>
        <w:top w:val="none" w:sz="0" w:space="0" w:color="auto"/>
        <w:left w:val="none" w:sz="0" w:space="0" w:color="auto"/>
        <w:bottom w:val="none" w:sz="0" w:space="0" w:color="auto"/>
        <w:right w:val="none" w:sz="0" w:space="0" w:color="auto"/>
      </w:divBdr>
    </w:div>
    <w:div w:id="1220242568">
      <w:bodyDiv w:val="1"/>
      <w:marLeft w:val="0"/>
      <w:marRight w:val="0"/>
      <w:marTop w:val="0"/>
      <w:marBottom w:val="0"/>
      <w:divBdr>
        <w:top w:val="none" w:sz="0" w:space="0" w:color="auto"/>
        <w:left w:val="none" w:sz="0" w:space="0" w:color="auto"/>
        <w:bottom w:val="none" w:sz="0" w:space="0" w:color="auto"/>
        <w:right w:val="none" w:sz="0" w:space="0" w:color="auto"/>
      </w:divBdr>
    </w:div>
    <w:div w:id="1358627186">
      <w:bodyDiv w:val="1"/>
      <w:marLeft w:val="0"/>
      <w:marRight w:val="0"/>
      <w:marTop w:val="0"/>
      <w:marBottom w:val="0"/>
      <w:divBdr>
        <w:top w:val="none" w:sz="0" w:space="0" w:color="auto"/>
        <w:left w:val="none" w:sz="0" w:space="0" w:color="auto"/>
        <w:bottom w:val="none" w:sz="0" w:space="0" w:color="auto"/>
        <w:right w:val="none" w:sz="0" w:space="0" w:color="auto"/>
      </w:divBdr>
    </w:div>
    <w:div w:id="1379091083">
      <w:bodyDiv w:val="1"/>
      <w:marLeft w:val="0"/>
      <w:marRight w:val="0"/>
      <w:marTop w:val="0"/>
      <w:marBottom w:val="0"/>
      <w:divBdr>
        <w:top w:val="none" w:sz="0" w:space="0" w:color="auto"/>
        <w:left w:val="none" w:sz="0" w:space="0" w:color="auto"/>
        <w:bottom w:val="none" w:sz="0" w:space="0" w:color="auto"/>
        <w:right w:val="none" w:sz="0" w:space="0" w:color="auto"/>
      </w:divBdr>
    </w:div>
    <w:div w:id="1483227989">
      <w:bodyDiv w:val="1"/>
      <w:marLeft w:val="0"/>
      <w:marRight w:val="0"/>
      <w:marTop w:val="0"/>
      <w:marBottom w:val="0"/>
      <w:divBdr>
        <w:top w:val="none" w:sz="0" w:space="0" w:color="auto"/>
        <w:left w:val="none" w:sz="0" w:space="0" w:color="auto"/>
        <w:bottom w:val="none" w:sz="0" w:space="0" w:color="auto"/>
        <w:right w:val="none" w:sz="0" w:space="0" w:color="auto"/>
      </w:divBdr>
    </w:div>
    <w:div w:id="1553076510">
      <w:bodyDiv w:val="1"/>
      <w:marLeft w:val="0"/>
      <w:marRight w:val="0"/>
      <w:marTop w:val="0"/>
      <w:marBottom w:val="0"/>
      <w:divBdr>
        <w:top w:val="none" w:sz="0" w:space="0" w:color="auto"/>
        <w:left w:val="none" w:sz="0" w:space="0" w:color="auto"/>
        <w:bottom w:val="none" w:sz="0" w:space="0" w:color="auto"/>
        <w:right w:val="none" w:sz="0" w:space="0" w:color="auto"/>
      </w:divBdr>
    </w:div>
    <w:div w:id="1599173281">
      <w:bodyDiv w:val="1"/>
      <w:marLeft w:val="0"/>
      <w:marRight w:val="0"/>
      <w:marTop w:val="0"/>
      <w:marBottom w:val="0"/>
      <w:divBdr>
        <w:top w:val="none" w:sz="0" w:space="0" w:color="auto"/>
        <w:left w:val="none" w:sz="0" w:space="0" w:color="auto"/>
        <w:bottom w:val="none" w:sz="0" w:space="0" w:color="auto"/>
        <w:right w:val="none" w:sz="0" w:space="0" w:color="auto"/>
      </w:divBdr>
    </w:div>
    <w:div w:id="1756709840">
      <w:bodyDiv w:val="1"/>
      <w:marLeft w:val="0"/>
      <w:marRight w:val="0"/>
      <w:marTop w:val="0"/>
      <w:marBottom w:val="0"/>
      <w:divBdr>
        <w:top w:val="none" w:sz="0" w:space="0" w:color="auto"/>
        <w:left w:val="none" w:sz="0" w:space="0" w:color="auto"/>
        <w:bottom w:val="none" w:sz="0" w:space="0" w:color="auto"/>
        <w:right w:val="none" w:sz="0" w:space="0" w:color="auto"/>
      </w:divBdr>
    </w:div>
    <w:div w:id="1803495957">
      <w:bodyDiv w:val="1"/>
      <w:marLeft w:val="0"/>
      <w:marRight w:val="0"/>
      <w:marTop w:val="0"/>
      <w:marBottom w:val="0"/>
      <w:divBdr>
        <w:top w:val="none" w:sz="0" w:space="0" w:color="auto"/>
        <w:left w:val="none" w:sz="0" w:space="0" w:color="auto"/>
        <w:bottom w:val="none" w:sz="0" w:space="0" w:color="auto"/>
        <w:right w:val="none" w:sz="0" w:space="0" w:color="auto"/>
      </w:divBdr>
    </w:div>
    <w:div w:id="1913345789">
      <w:bodyDiv w:val="1"/>
      <w:marLeft w:val="0"/>
      <w:marRight w:val="0"/>
      <w:marTop w:val="0"/>
      <w:marBottom w:val="0"/>
      <w:divBdr>
        <w:top w:val="none" w:sz="0" w:space="0" w:color="auto"/>
        <w:left w:val="none" w:sz="0" w:space="0" w:color="auto"/>
        <w:bottom w:val="none" w:sz="0" w:space="0" w:color="auto"/>
        <w:right w:val="none" w:sz="0" w:space="0" w:color="auto"/>
      </w:divBdr>
    </w:div>
    <w:div w:id="1985044491">
      <w:bodyDiv w:val="1"/>
      <w:marLeft w:val="0"/>
      <w:marRight w:val="0"/>
      <w:marTop w:val="0"/>
      <w:marBottom w:val="0"/>
      <w:divBdr>
        <w:top w:val="none" w:sz="0" w:space="0" w:color="auto"/>
        <w:left w:val="none" w:sz="0" w:space="0" w:color="auto"/>
        <w:bottom w:val="none" w:sz="0" w:space="0" w:color="auto"/>
        <w:right w:val="none" w:sz="0" w:space="0" w:color="auto"/>
      </w:divBdr>
    </w:div>
    <w:div w:id="19863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da-global.org/c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atic1.squarespace.com/static/5b3043afb40b9d20411f3512/t/63ed934fe861fa061ebb9202/1676514134724/Communique-Indigenous-Data-Sovereignty-Summi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gac.gov.au/get-involved/engag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tension xmlns="2198ab08-73ba-47ca-9592-b0be8b99793c" xsi:nil="true"/>
    <lcf76f155ced4ddcb4097134ff3c332f xmlns="2198ab08-73ba-47ca-9592-b0be8b99793c">
      <Terms xmlns="http://schemas.microsoft.com/office/infopath/2007/PartnerControls"/>
    </lcf76f155ced4ddcb4097134ff3c332f>
    <TaxCatchAll xmlns="b43c2291-e1b6-47ff-a130-ab60a193957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AC909E31A7740B92FC1F4AA423495" ma:contentTypeVersion="15" ma:contentTypeDescription="Create a new document." ma:contentTypeScope="" ma:versionID="12ba89637f0bdd5f235d000fd068693e">
  <xsd:schema xmlns:xsd="http://www.w3.org/2001/XMLSchema" xmlns:xs="http://www.w3.org/2001/XMLSchema" xmlns:p="http://schemas.microsoft.com/office/2006/metadata/properties" xmlns:ns2="2198ab08-73ba-47ca-9592-b0be8b99793c" xmlns:ns3="b43c2291-e1b6-47ff-a130-ab60a193957d" targetNamespace="http://schemas.microsoft.com/office/2006/metadata/properties" ma:root="true" ma:fieldsID="059f6e4fce270541dc6637bc3c902e94" ns2:_="" ns3:_="">
    <xsd:import namespace="2198ab08-73ba-47ca-9592-b0be8b99793c"/>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Extens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ab08-73ba-47ca-9592-b0be8b997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Extension" ma:index="11" nillable="true" ma:displayName="Extension" ma:format="Dropdown" ma:internalName="Extension">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B965-5C26-428D-8485-17E24ECD6F68}">
  <ds:schemaRefs>
    <ds:schemaRef ds:uri="http://schemas.microsoft.com/sharepoint/v3/contenttype/forms"/>
  </ds:schemaRefs>
</ds:datastoreItem>
</file>

<file path=customXml/itemProps2.xml><?xml version="1.0" encoding="utf-8"?>
<ds:datastoreItem xmlns:ds="http://schemas.openxmlformats.org/officeDocument/2006/customXml" ds:itemID="{63B3AA8F-FBB1-4CB3-AC79-DB373F702884}">
  <ds:schemaRefs>
    <ds:schemaRef ds:uri="http://schemas.microsoft.com/office/2006/metadata/properties"/>
    <ds:schemaRef ds:uri="http://schemas.microsoft.com/office/infopath/2007/PartnerControls"/>
    <ds:schemaRef ds:uri="2198ab08-73ba-47ca-9592-b0be8b99793c"/>
    <ds:schemaRef ds:uri="b43c2291-e1b6-47ff-a130-ab60a193957d"/>
  </ds:schemaRefs>
</ds:datastoreItem>
</file>

<file path=customXml/itemProps3.xml><?xml version="1.0" encoding="utf-8"?>
<ds:datastoreItem xmlns:ds="http://schemas.openxmlformats.org/officeDocument/2006/customXml" ds:itemID="{8ACE56A3-1DE4-41E2-88CB-FEA258E8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ab08-73ba-47ca-9592-b0be8b99793c"/>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05677-9FA3-4226-8DE1-E17CF3CD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Inspector-General’s Statement of Commitment to the National Agreement on Closing the Gap</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Inspector-General’s Statement of Commitment to the National Agreement on Closing the Gap</dc:title>
  <dc:subject/>
  <dc:creator>Australian Government Department of Health, Disability and Ageing</dc:creator>
  <cp:keywords/>
  <dc:description/>
  <cp:revision>11</cp:revision>
  <cp:lastPrinted>2025-05-29T00:40:00Z</cp:lastPrinted>
  <dcterms:created xsi:type="dcterms:W3CDTF">2025-07-14T04:23:00Z</dcterms:created>
  <dcterms:modified xsi:type="dcterms:W3CDTF">2025-07-25T02:26:00Z</dcterms:modified>
  <cp:category/>
  <cp:contentStatus/>
</cp:coreProperties>
</file>