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AB3C" w14:textId="0A0DD540" w:rsidR="00603379" w:rsidRPr="00F632BE" w:rsidRDefault="004450F2" w:rsidP="000C5641">
      <w:pPr>
        <w:pStyle w:val="Title"/>
        <w:rPr>
          <w:color w:val="FFFFFF" w:themeColor="background1"/>
          <w:sz w:val="90"/>
          <w:szCs w:val="90"/>
        </w:rPr>
      </w:pPr>
      <w:r w:rsidRPr="00F632BE">
        <w:rPr>
          <w:noProof/>
          <w:color w:val="FFFFFF" w:themeColor="background1"/>
          <w:sz w:val="90"/>
          <w:szCs w:val="90"/>
          <w14:ligatures w14:val="standardContextual"/>
        </w:rPr>
        <w:drawing>
          <wp:anchor distT="0" distB="0" distL="114300" distR="114300" simplePos="0" relativeHeight="251655168" behindDoc="1" locked="0" layoutInCell="1" allowOverlap="1" wp14:anchorId="7512A293" wp14:editId="216DC684">
            <wp:simplePos x="0" y="0"/>
            <wp:positionH relativeFrom="page">
              <wp:align>center</wp:align>
            </wp:positionH>
            <wp:positionV relativeFrom="page">
              <wp:align>center</wp:align>
            </wp:positionV>
            <wp:extent cx="7700400" cy="10893600"/>
            <wp:effectExtent l="0" t="0" r="0" b="3175"/>
            <wp:wrapNone/>
            <wp:docPr id="1155509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0999"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00400" cy="10893600"/>
                    </a:xfrm>
                    <a:prstGeom prst="rect">
                      <a:avLst/>
                    </a:prstGeom>
                  </pic:spPr>
                </pic:pic>
              </a:graphicData>
            </a:graphic>
            <wp14:sizeRelH relativeFrom="page">
              <wp14:pctWidth>0</wp14:pctWidth>
            </wp14:sizeRelH>
            <wp14:sizeRelV relativeFrom="page">
              <wp14:pctHeight>0</wp14:pctHeight>
            </wp14:sizeRelV>
          </wp:anchor>
        </w:drawing>
      </w:r>
      <w:r w:rsidR="00B86CED" w:rsidRPr="00F632BE">
        <w:rPr>
          <w:noProof/>
          <w:color w:val="FFFFFF" w:themeColor="background1"/>
          <w:sz w:val="90"/>
          <w:szCs w:val="90"/>
          <w14:ligatures w14:val="standardContextual"/>
        </w:rPr>
        <w:drawing>
          <wp:anchor distT="0" distB="0" distL="114300" distR="114300" simplePos="0" relativeHeight="251657216" behindDoc="0" locked="0" layoutInCell="1" allowOverlap="1" wp14:anchorId="4F5C21EB" wp14:editId="0A539D35">
            <wp:simplePos x="0" y="0"/>
            <wp:positionH relativeFrom="margin">
              <wp:align>left</wp:align>
            </wp:positionH>
            <wp:positionV relativeFrom="paragraph">
              <wp:posOffset>538748</wp:posOffset>
            </wp:positionV>
            <wp:extent cx="3467202" cy="693288"/>
            <wp:effectExtent l="0" t="0" r="0" b="0"/>
            <wp:wrapNone/>
            <wp:docPr id="31342396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23965"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67202" cy="693288"/>
                    </a:xfrm>
                    <a:prstGeom prst="rect">
                      <a:avLst/>
                    </a:prstGeom>
                  </pic:spPr>
                </pic:pic>
              </a:graphicData>
            </a:graphic>
            <wp14:sizeRelH relativeFrom="page">
              <wp14:pctWidth>0</wp14:pctWidth>
            </wp14:sizeRelH>
            <wp14:sizeRelV relativeFrom="page">
              <wp14:pctHeight>0</wp14:pctHeight>
            </wp14:sizeRelV>
          </wp:anchor>
        </w:drawing>
      </w:r>
      <w:r w:rsidR="00B86CED">
        <w:rPr>
          <w:color w:val="FFFFFF" w:themeColor="background1"/>
          <w:sz w:val="90"/>
          <w:szCs w:val="90"/>
        </w:rPr>
        <w:br/>
      </w:r>
      <w:r w:rsidR="002015FD" w:rsidRPr="00F632BE">
        <w:rPr>
          <w:color w:val="FFFFFF" w:themeColor="background1"/>
          <w:sz w:val="90"/>
          <w:szCs w:val="90"/>
        </w:rPr>
        <w:t>Annual Work Plan</w:t>
      </w:r>
    </w:p>
    <w:p w14:paraId="5C3BDF97" w14:textId="09A317DD" w:rsidR="00F11E66" w:rsidRDefault="00C02478" w:rsidP="009347CB">
      <w:pPr>
        <w:pStyle w:val="Subtitle"/>
        <w:rPr>
          <w:rStyle w:val="SubtleEmphasis"/>
          <w:color w:val="FFFFFF" w:themeColor="background1"/>
          <w:sz w:val="40"/>
          <w:szCs w:val="40"/>
        </w:rPr>
        <w:sectPr w:rsidR="00F11E66" w:rsidSect="00485DE2">
          <w:footerReference w:type="even" r:id="rId14"/>
          <w:footerReference w:type="default" r:id="rId15"/>
          <w:headerReference w:type="first" r:id="rId16"/>
          <w:footerReference w:type="first" r:id="rId17"/>
          <w:pgSz w:w="11900" w:h="16840" w:code="9"/>
          <w:pgMar w:top="1440" w:right="1440" w:bottom="1440" w:left="1440" w:header="709" w:footer="510" w:gutter="0"/>
          <w:cols w:space="708"/>
          <w:titlePg/>
          <w:docGrid w:linePitch="360"/>
        </w:sectPr>
      </w:pPr>
      <w:r w:rsidRPr="00225F7A">
        <w:rPr>
          <w:color w:val="FFFFFF" w:themeColor="background1"/>
        </w:rPr>
        <w:t>202</w:t>
      </w:r>
      <w:r w:rsidR="002015FD" w:rsidRPr="00225F7A">
        <w:rPr>
          <w:color w:val="FFFFFF" w:themeColor="background1"/>
        </w:rPr>
        <w:t>5</w:t>
      </w:r>
      <w:r w:rsidR="00FE6DE2">
        <w:rPr>
          <w:rFonts w:cstheme="minorHAnsi"/>
          <w:color w:val="FFFFFF" w:themeColor="background1"/>
        </w:rPr>
        <w:t>–</w:t>
      </w:r>
      <w:r w:rsidRPr="00225F7A">
        <w:rPr>
          <w:color w:val="FFFFFF" w:themeColor="background1"/>
        </w:rPr>
        <w:t>2</w:t>
      </w:r>
      <w:r w:rsidR="002015FD" w:rsidRPr="00225F7A">
        <w:rPr>
          <w:color w:val="FFFFFF" w:themeColor="background1"/>
        </w:rPr>
        <w:t>6</w:t>
      </w:r>
      <w:r w:rsidR="00B86CED">
        <w:rPr>
          <w:color w:val="FFFFFF" w:themeColor="background1"/>
        </w:rPr>
        <w:br/>
      </w:r>
      <w:r w:rsidR="00D51A20">
        <w:rPr>
          <w:rStyle w:val="SubtleEmphasis"/>
          <w:color w:val="FFFFFF" w:themeColor="background1"/>
          <w:sz w:val="40"/>
          <w:szCs w:val="40"/>
        </w:rPr>
        <w:br/>
      </w:r>
      <w:r w:rsidR="00B86CED" w:rsidRPr="002335EF">
        <w:rPr>
          <w:rStyle w:val="SubtleEmphasis"/>
          <w:color w:val="FFFFFF" w:themeColor="background1"/>
          <w:sz w:val="40"/>
          <w:szCs w:val="40"/>
        </w:rPr>
        <w:t xml:space="preserve">From aspiration to action: Realising </w:t>
      </w:r>
      <w:r w:rsidR="001752A6">
        <w:rPr>
          <w:rStyle w:val="SubtleEmphasis"/>
          <w:color w:val="FFFFFF" w:themeColor="background1"/>
          <w:sz w:val="40"/>
          <w:szCs w:val="40"/>
        </w:rPr>
        <w:t>h</w:t>
      </w:r>
      <w:r w:rsidR="00B86CED" w:rsidRPr="002335EF">
        <w:rPr>
          <w:rStyle w:val="SubtleEmphasis"/>
          <w:color w:val="FFFFFF" w:themeColor="background1"/>
          <w:sz w:val="40"/>
          <w:szCs w:val="40"/>
        </w:rPr>
        <w:t xml:space="preserve">uman </w:t>
      </w:r>
      <w:r w:rsidR="001752A6">
        <w:rPr>
          <w:rStyle w:val="SubtleEmphasis"/>
          <w:color w:val="FFFFFF" w:themeColor="background1"/>
          <w:sz w:val="40"/>
          <w:szCs w:val="40"/>
        </w:rPr>
        <w:t>r</w:t>
      </w:r>
      <w:r w:rsidR="00B86CED" w:rsidRPr="002335EF">
        <w:rPr>
          <w:rStyle w:val="SubtleEmphasis"/>
          <w:color w:val="FFFFFF" w:themeColor="background1"/>
          <w:sz w:val="40"/>
          <w:szCs w:val="40"/>
        </w:rPr>
        <w:t xml:space="preserve">ights and </w:t>
      </w:r>
      <w:r w:rsidR="001752A6">
        <w:rPr>
          <w:rStyle w:val="SubtleEmphasis"/>
          <w:color w:val="FFFFFF" w:themeColor="background1"/>
          <w:sz w:val="40"/>
          <w:szCs w:val="40"/>
        </w:rPr>
        <w:t>p</w:t>
      </w:r>
      <w:r w:rsidR="00B86CED" w:rsidRPr="002335EF">
        <w:rPr>
          <w:rStyle w:val="SubtleEmphasis"/>
          <w:color w:val="FFFFFF" w:themeColor="background1"/>
          <w:sz w:val="40"/>
          <w:szCs w:val="40"/>
        </w:rPr>
        <w:t xml:space="preserve">erson-centred </w:t>
      </w:r>
      <w:r w:rsidR="001752A6">
        <w:rPr>
          <w:rStyle w:val="SubtleEmphasis"/>
          <w:color w:val="FFFFFF" w:themeColor="background1"/>
          <w:sz w:val="40"/>
          <w:szCs w:val="40"/>
        </w:rPr>
        <w:t>c</w:t>
      </w:r>
      <w:r w:rsidR="00B86CED" w:rsidRPr="002335EF">
        <w:rPr>
          <w:rStyle w:val="SubtleEmphasis"/>
          <w:color w:val="FFFFFF" w:themeColor="background1"/>
          <w:sz w:val="40"/>
          <w:szCs w:val="40"/>
        </w:rPr>
        <w:t xml:space="preserve">are in </w:t>
      </w:r>
      <w:r w:rsidR="001752A6">
        <w:rPr>
          <w:rStyle w:val="SubtleEmphasis"/>
          <w:color w:val="FFFFFF" w:themeColor="background1"/>
          <w:sz w:val="40"/>
          <w:szCs w:val="40"/>
        </w:rPr>
        <w:t>a</w:t>
      </w:r>
      <w:r w:rsidR="00B86CED" w:rsidRPr="002335EF">
        <w:rPr>
          <w:rStyle w:val="SubtleEmphasis"/>
          <w:color w:val="FFFFFF" w:themeColor="background1"/>
          <w:sz w:val="40"/>
          <w:szCs w:val="40"/>
        </w:rPr>
        <w:t xml:space="preserve">ged </w:t>
      </w:r>
      <w:r w:rsidR="001752A6">
        <w:rPr>
          <w:rStyle w:val="SubtleEmphasis"/>
          <w:color w:val="FFFFFF" w:themeColor="background1"/>
          <w:sz w:val="40"/>
          <w:szCs w:val="40"/>
        </w:rPr>
        <w:t>c</w:t>
      </w:r>
      <w:r w:rsidR="00B86CED" w:rsidRPr="002335EF">
        <w:rPr>
          <w:rStyle w:val="SubtleEmphasis"/>
          <w:color w:val="FFFFFF" w:themeColor="background1"/>
          <w:sz w:val="40"/>
          <w:szCs w:val="40"/>
        </w:rPr>
        <w:t>are</w:t>
      </w:r>
    </w:p>
    <w:p w14:paraId="1A085AF2" w14:textId="1155E65F" w:rsidR="00356EEA" w:rsidRDefault="00356EEA">
      <w:pPr>
        <w:spacing w:after="0"/>
        <w:rPr>
          <w:color w:val="FFFFFF" w:themeColor="background1"/>
          <w:sz w:val="68"/>
          <w:szCs w:val="48"/>
        </w:rPr>
      </w:pPr>
    </w:p>
    <w:p w14:paraId="62472248" w14:textId="2AB03A8F" w:rsidR="00427EC1" w:rsidRDefault="004450F2" w:rsidP="004450F2">
      <w:pPr>
        <w:pStyle w:val="Subtitle"/>
        <w:rPr>
          <w:b/>
          <w:sz w:val="32"/>
          <w:szCs w:val="32"/>
          <w:lang w:val="en-US"/>
        </w:rPr>
      </w:pPr>
      <w:r>
        <w:rPr>
          <w:b/>
          <w:noProof/>
          <w:sz w:val="32"/>
          <w:szCs w:val="32"/>
          <w:lang w:val="en-US"/>
          <w14:ligatures w14:val="standardContextual"/>
        </w:rPr>
        <w:drawing>
          <wp:anchor distT="0" distB="0" distL="114300" distR="114300" simplePos="0" relativeHeight="251656192" behindDoc="1" locked="0" layoutInCell="1" allowOverlap="1" wp14:anchorId="6D11C3A4" wp14:editId="6C8C8319">
            <wp:simplePos x="0" y="0"/>
            <wp:positionH relativeFrom="page">
              <wp:align>center</wp:align>
            </wp:positionH>
            <wp:positionV relativeFrom="page">
              <wp:align>center</wp:align>
            </wp:positionV>
            <wp:extent cx="7660800" cy="10836000"/>
            <wp:effectExtent l="0" t="0" r="0" b="3810"/>
            <wp:wrapNone/>
            <wp:docPr id="478604237" name="Picture 2" descr="A purple and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04237" name="Picture 2" descr="A purple and white backgroun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660800" cy="10836000"/>
                    </a:xfrm>
                    <a:prstGeom prst="rect">
                      <a:avLst/>
                    </a:prstGeom>
                  </pic:spPr>
                </pic:pic>
              </a:graphicData>
            </a:graphic>
            <wp14:sizeRelH relativeFrom="page">
              <wp14:pctWidth>0</wp14:pctWidth>
            </wp14:sizeRelH>
            <wp14:sizeRelV relativeFrom="page">
              <wp14:pctHeight>0</wp14:pctHeight>
            </wp14:sizeRelV>
          </wp:anchor>
        </w:drawing>
      </w:r>
    </w:p>
    <w:p w14:paraId="5D7ABC77" w14:textId="3D97F7E5" w:rsidR="00770A31" w:rsidRPr="00427EC1" w:rsidRDefault="00770A31" w:rsidP="004450F2">
      <w:pPr>
        <w:spacing w:before="6000"/>
        <w:rPr>
          <w:b/>
          <w:color w:val="FFFFFF" w:themeColor="background1"/>
          <w:sz w:val="32"/>
          <w:szCs w:val="32"/>
          <w:lang w:val="en-US"/>
        </w:rPr>
      </w:pPr>
      <w:r w:rsidRPr="00427EC1">
        <w:rPr>
          <w:b/>
          <w:color w:val="FFFFFF" w:themeColor="background1"/>
          <w:sz w:val="32"/>
          <w:szCs w:val="32"/>
          <w:lang w:val="en-US"/>
        </w:rPr>
        <w:t>Publication information</w:t>
      </w:r>
    </w:p>
    <w:p w14:paraId="489D1B37" w14:textId="77777777" w:rsidR="00770A31" w:rsidRPr="00427EC1" w:rsidRDefault="00770A31" w:rsidP="00770A31">
      <w:pPr>
        <w:rPr>
          <w:color w:val="FFFFFF" w:themeColor="background1"/>
          <w:lang w:val="en-US"/>
        </w:rPr>
      </w:pPr>
      <w:r w:rsidRPr="00427EC1">
        <w:rPr>
          <w:b/>
          <w:bCs/>
          <w:color w:val="FFFFFF" w:themeColor="background1"/>
          <w:lang w:val="en-US"/>
        </w:rPr>
        <w:t>Acknowledgement of Country</w:t>
      </w:r>
    </w:p>
    <w:p w14:paraId="4E29DBBB" w14:textId="5EE7853A" w:rsidR="00770A31" w:rsidRPr="00427EC1" w:rsidRDefault="00770A31" w:rsidP="004506D7">
      <w:pPr>
        <w:spacing w:after="480"/>
        <w:rPr>
          <w:color w:val="FFFFFF" w:themeColor="background1"/>
          <w:lang w:val="en-US"/>
        </w:rPr>
      </w:pPr>
      <w:r w:rsidRPr="00427EC1">
        <w:rPr>
          <w:color w:val="FFFFFF" w:themeColor="background1"/>
          <w:lang w:val="en-US"/>
        </w:rPr>
        <w:t>The Office of the Inspector-General of Aged Care acknowledges the traditional owners of country throughout Australia, and their continuing connection to land, water and community. We pay our respects to them and their cultures and to elders both past and present.</w:t>
      </w:r>
    </w:p>
    <w:p w14:paraId="36DF6B1A" w14:textId="456F90BB" w:rsidR="00770A31" w:rsidRPr="00427EC1" w:rsidRDefault="00770A31" w:rsidP="00770A31">
      <w:pPr>
        <w:rPr>
          <w:color w:val="FFFFFF" w:themeColor="background1"/>
          <w:lang w:val="en-US"/>
        </w:rPr>
      </w:pPr>
      <w:r w:rsidRPr="00427EC1">
        <w:rPr>
          <w:b/>
          <w:bCs/>
          <w:color w:val="FFFFFF" w:themeColor="background1"/>
          <w:lang w:val="en-US"/>
        </w:rPr>
        <w:t>Publication details</w:t>
      </w:r>
    </w:p>
    <w:p w14:paraId="341C99F1" w14:textId="50D72034" w:rsidR="00770A31" w:rsidRPr="00427EC1" w:rsidRDefault="00770A31" w:rsidP="00770A31">
      <w:pPr>
        <w:rPr>
          <w:color w:val="FFFFFF" w:themeColor="background1"/>
          <w:lang w:val="en-US"/>
        </w:rPr>
      </w:pPr>
      <w:r w:rsidRPr="00427EC1">
        <w:rPr>
          <w:color w:val="FFFFFF" w:themeColor="background1"/>
          <w:lang w:val="en-US"/>
        </w:rPr>
        <w:t>© Commonwealth of Australia 202</w:t>
      </w:r>
      <w:r w:rsidR="00416CD6" w:rsidRPr="00427EC1">
        <w:rPr>
          <w:color w:val="FFFFFF" w:themeColor="background1"/>
          <w:lang w:val="en-US"/>
        </w:rPr>
        <w:t>5</w:t>
      </w:r>
    </w:p>
    <w:p w14:paraId="484A6FB1" w14:textId="0E6CE7E1" w:rsidR="00770A31" w:rsidRPr="00427EC1" w:rsidRDefault="00770A31" w:rsidP="00770A31">
      <w:pPr>
        <w:rPr>
          <w:color w:val="FFFFFF" w:themeColor="background1"/>
          <w:lang w:val="en-US"/>
        </w:rPr>
      </w:pPr>
      <w:r w:rsidRPr="00427EC1">
        <w:rPr>
          <w:color w:val="FFFFFF" w:themeColor="background1"/>
          <w:lang w:val="en-US"/>
        </w:rPr>
        <w:t xml:space="preserve">This work is copyright. Apart from any </w:t>
      </w:r>
      <w:r w:rsidR="004D112D" w:rsidRPr="00427EC1">
        <w:rPr>
          <w:color w:val="FFFFFF" w:themeColor="background1"/>
          <w:lang w:val="en-US"/>
        </w:rPr>
        <w:t>use</w:t>
      </w:r>
      <w:r w:rsidRPr="00427EC1">
        <w:rPr>
          <w:color w:val="FFFFFF" w:themeColor="background1"/>
          <w:lang w:val="en-US"/>
        </w:rPr>
        <w:t xml:space="preserve"> permitted under the </w:t>
      </w:r>
      <w:r w:rsidRPr="00427EC1">
        <w:rPr>
          <w:i/>
          <w:iCs/>
          <w:color w:val="FFFFFF" w:themeColor="background1"/>
          <w:lang w:val="en-US"/>
        </w:rPr>
        <w:t>Copyright Act 1968</w:t>
      </w:r>
      <w:r w:rsidRPr="00427EC1">
        <w:rPr>
          <w:color w:val="FFFFFF" w:themeColor="background1"/>
          <w:lang w:val="en-US"/>
        </w:rPr>
        <w:t>, no part may be reproduced by any process without prior written permission from the Office of the Inspector-General of Aged Care.</w:t>
      </w:r>
    </w:p>
    <w:p w14:paraId="6AABBB88" w14:textId="4E0C7916" w:rsidR="00770A31" w:rsidRPr="00427EC1" w:rsidRDefault="00770A31" w:rsidP="00770A31">
      <w:pPr>
        <w:rPr>
          <w:color w:val="FFFFFF" w:themeColor="background1"/>
          <w:lang w:val="en-US"/>
        </w:rPr>
      </w:pPr>
      <w:r w:rsidRPr="00427EC1">
        <w:rPr>
          <w:color w:val="FFFFFF" w:themeColor="background1"/>
          <w:lang w:val="en-US"/>
        </w:rPr>
        <w:t xml:space="preserve">Produced by the Office of the Inspector-General of Aged Care, </w:t>
      </w:r>
      <w:r w:rsidR="00485DE2">
        <w:rPr>
          <w:color w:val="FFFFFF" w:themeColor="background1"/>
          <w:lang w:val="en-US"/>
        </w:rPr>
        <w:t>Barton</w:t>
      </w:r>
      <w:r w:rsidRPr="00427EC1">
        <w:rPr>
          <w:color w:val="FFFFFF" w:themeColor="background1"/>
          <w:lang w:val="en-US"/>
        </w:rPr>
        <w:t>, Canberra, ACT.</w:t>
      </w:r>
    </w:p>
    <w:p w14:paraId="59462F44" w14:textId="77777777" w:rsidR="00770A31" w:rsidRPr="00427EC1" w:rsidRDefault="00770A31" w:rsidP="00770A31">
      <w:pPr>
        <w:rPr>
          <w:color w:val="FFFFFF" w:themeColor="background1"/>
          <w:lang w:val="en-US"/>
        </w:rPr>
      </w:pPr>
      <w:r w:rsidRPr="00427EC1">
        <w:rPr>
          <w:color w:val="FFFFFF" w:themeColor="background1"/>
          <w:lang w:val="en-US"/>
        </w:rPr>
        <w:t>Requests and enquiries concerning the contents of the report should be addressed to:</w:t>
      </w:r>
    </w:p>
    <w:p w14:paraId="29033D58" w14:textId="77777777" w:rsidR="001B5CFA" w:rsidRDefault="00770A31" w:rsidP="00CE788E">
      <w:pPr>
        <w:rPr>
          <w:color w:val="FFFFFF" w:themeColor="background1"/>
          <w:lang w:val="en-US"/>
        </w:rPr>
        <w:sectPr w:rsidR="001B5CFA" w:rsidSect="00485DE2">
          <w:pgSz w:w="11900" w:h="16840" w:code="9"/>
          <w:pgMar w:top="1440" w:right="1440" w:bottom="1440" w:left="1440" w:header="709" w:footer="510" w:gutter="0"/>
          <w:pgNumType w:start="1"/>
          <w:cols w:space="708"/>
          <w:titlePg/>
          <w:docGrid w:linePitch="360"/>
        </w:sectPr>
      </w:pPr>
      <w:r w:rsidRPr="00427EC1">
        <w:rPr>
          <w:color w:val="FFFFFF" w:themeColor="background1"/>
          <w:lang w:val="en-US"/>
        </w:rPr>
        <w:t>Office of the Inspector-General of Aged Care</w:t>
      </w:r>
      <w:r w:rsidR="006F17F1" w:rsidRPr="00427EC1">
        <w:rPr>
          <w:color w:val="FFFFFF" w:themeColor="background1"/>
          <w:lang w:val="en-US"/>
        </w:rPr>
        <w:br/>
      </w:r>
      <w:r w:rsidRPr="00427EC1">
        <w:rPr>
          <w:color w:val="FFFFFF" w:themeColor="background1"/>
          <w:lang w:val="en-US"/>
        </w:rPr>
        <w:t>PO Box 350</w:t>
      </w:r>
    </w:p>
    <w:p w14:paraId="7B3D4F16" w14:textId="3962B162" w:rsidR="00621415" w:rsidRPr="00427EC1" w:rsidRDefault="006F17F1" w:rsidP="00CE788E">
      <w:pPr>
        <w:rPr>
          <w:color w:val="FFFFFF" w:themeColor="background1"/>
        </w:rPr>
      </w:pPr>
      <w:r w:rsidRPr="00427EC1">
        <w:rPr>
          <w:color w:val="FFFFFF" w:themeColor="background1"/>
          <w:lang w:val="en-US"/>
        </w:rPr>
        <w:lastRenderedPageBreak/>
        <w:br/>
      </w:r>
    </w:p>
    <w:p w14:paraId="767A4A78" w14:textId="153B8AC9" w:rsidR="00246547" w:rsidRPr="00CE788E" w:rsidRDefault="00246547" w:rsidP="00CE788E">
      <w:pPr>
        <w:pStyle w:val="Heading1"/>
      </w:pPr>
      <w:bookmarkStart w:id="0" w:name="_Toc204950289"/>
      <w:bookmarkStart w:id="1" w:name="_Toc206703305"/>
      <w:bookmarkStart w:id="2" w:name="_Toc206750414"/>
      <w:bookmarkStart w:id="3" w:name="_Toc207110559"/>
      <w:bookmarkStart w:id="4" w:name="_Toc176789270"/>
      <w:r w:rsidRPr="00CE788E">
        <w:t>Foreword</w:t>
      </w:r>
      <w:bookmarkEnd w:id="0"/>
      <w:bookmarkEnd w:id="1"/>
      <w:bookmarkEnd w:id="2"/>
      <w:bookmarkEnd w:id="3"/>
    </w:p>
    <w:p w14:paraId="2E946757" w14:textId="77777777" w:rsidR="00356EEA" w:rsidRDefault="00D61395" w:rsidP="00524F6E">
      <w:r w:rsidRPr="00961500">
        <w:rPr>
          <w:noProof/>
        </w:rPr>
        <w:drawing>
          <wp:anchor distT="0" distB="0" distL="114300" distR="114300" simplePos="0" relativeHeight="251658240" behindDoc="0" locked="0" layoutInCell="1" allowOverlap="1" wp14:anchorId="0A6EF9D7" wp14:editId="7AFCE0B1">
            <wp:simplePos x="0" y="0"/>
            <wp:positionH relativeFrom="margin">
              <wp:align>left</wp:align>
            </wp:positionH>
            <wp:positionV relativeFrom="paragraph">
              <wp:posOffset>318770</wp:posOffset>
            </wp:positionV>
            <wp:extent cx="2175510" cy="2797175"/>
            <wp:effectExtent l="0" t="0" r="0" b="3175"/>
            <wp:wrapSquare wrapText="bothSides"/>
            <wp:docPr id="1165865192" name="Picture 2" descr="Photograph of the Inspector-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65192" name="Picture 2" descr="Photograph of the Inspector-Genera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5510" cy="279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FFCF7" w14:textId="3ACB915D" w:rsidR="00524F6E" w:rsidRPr="00524F6E" w:rsidRDefault="00524F6E" w:rsidP="00524F6E">
      <w:pPr>
        <w:rPr>
          <w:rFonts w:eastAsiaTheme="majorEastAsia" w:cs="Arial"/>
          <w:color w:val="77226C"/>
          <w:sz w:val="32"/>
          <w:szCs w:val="32"/>
        </w:rPr>
      </w:pPr>
      <w:r>
        <w:t>I am rapt to present the 2025–26</w:t>
      </w:r>
      <w:r w:rsidRPr="003329B4">
        <w:t xml:space="preserve"> Annual Work Plan</w:t>
      </w:r>
      <w:r>
        <w:t>, my first as Inspector-General of Aged Care.</w:t>
      </w:r>
    </w:p>
    <w:p w14:paraId="65187ED9" w14:textId="77777777" w:rsidR="00524F6E" w:rsidRDefault="00524F6E" w:rsidP="00524F6E">
      <w:r>
        <w:t>It is an absolute privilege to share with you my vision for delivery in 2025–26. The intent of this work plan is to focus the work of my Office on the areas that will make the most meaningful impact on delivering transformational change in aged care. It is all underpinned by the central vision of my Office; an aged care system where every person receives kind, compassionate, high-quality care that promotes their rights, identity and independence.</w:t>
      </w:r>
    </w:p>
    <w:p w14:paraId="77C732FB" w14:textId="1E52B22D" w:rsidR="00524F6E" w:rsidRDefault="00524F6E" w:rsidP="00524F6E">
      <w:r>
        <w:t xml:space="preserve">With the introduction of the new </w:t>
      </w:r>
      <w:r w:rsidRPr="00C23CD9">
        <w:rPr>
          <w:i/>
          <w:iCs/>
        </w:rPr>
        <w:t>Aged Care Act 2024</w:t>
      </w:r>
      <w:r>
        <w:t xml:space="preserve"> there is real momentum to shine a spotlight on the opportunities to bring the legislated commitment to kind, dignified, self-determined, rights-based aged care to life. And to make sure that the voice of those with lived experience who are currently using or trying to access aged care, is centred in designing the future.</w:t>
      </w:r>
    </w:p>
    <w:p w14:paraId="1D024020" w14:textId="1181473F" w:rsidR="00246547" w:rsidRPr="00D475E0" w:rsidRDefault="00246547" w:rsidP="00246547">
      <w:r>
        <w:t>The theme of this year’s Annual Work Plan is:</w:t>
      </w:r>
      <w:r w:rsidR="00D475E0">
        <w:t xml:space="preserve"> </w:t>
      </w:r>
      <w:r w:rsidRPr="00C72D2F">
        <w:rPr>
          <w:b/>
          <w:bCs/>
          <w:i/>
          <w:iCs/>
          <w:color w:val="703E6D" w:themeColor="accent3" w:themeShade="80"/>
        </w:rPr>
        <w:t xml:space="preserve">From </w:t>
      </w:r>
      <w:r w:rsidR="001B5CFA">
        <w:rPr>
          <w:b/>
          <w:bCs/>
          <w:i/>
          <w:iCs/>
          <w:color w:val="703E6D" w:themeColor="accent3" w:themeShade="80"/>
        </w:rPr>
        <w:t>a</w:t>
      </w:r>
      <w:r w:rsidR="001B5CFA" w:rsidRPr="00C72D2F">
        <w:rPr>
          <w:b/>
          <w:bCs/>
          <w:i/>
          <w:iCs/>
          <w:color w:val="703E6D" w:themeColor="accent3" w:themeShade="80"/>
        </w:rPr>
        <w:t xml:space="preserve">spiration </w:t>
      </w:r>
      <w:r w:rsidRPr="00C72D2F">
        <w:rPr>
          <w:b/>
          <w:bCs/>
          <w:i/>
          <w:iCs/>
          <w:color w:val="703E6D" w:themeColor="accent3" w:themeShade="80"/>
        </w:rPr>
        <w:t xml:space="preserve">to </w:t>
      </w:r>
      <w:r w:rsidR="001B5CFA">
        <w:rPr>
          <w:b/>
          <w:bCs/>
          <w:i/>
          <w:iCs/>
          <w:color w:val="703E6D" w:themeColor="accent3" w:themeShade="80"/>
        </w:rPr>
        <w:t>a</w:t>
      </w:r>
      <w:r w:rsidR="001B5CFA" w:rsidRPr="00C72D2F">
        <w:rPr>
          <w:b/>
          <w:bCs/>
          <w:i/>
          <w:iCs/>
          <w:color w:val="703E6D" w:themeColor="accent3" w:themeShade="80"/>
        </w:rPr>
        <w:t>ction</w:t>
      </w:r>
      <w:r w:rsidRPr="00C72D2F">
        <w:rPr>
          <w:b/>
          <w:bCs/>
          <w:i/>
          <w:iCs/>
          <w:color w:val="703E6D" w:themeColor="accent3" w:themeShade="80"/>
        </w:rPr>
        <w:t xml:space="preserve">: Realising </w:t>
      </w:r>
      <w:r w:rsidR="005E2954">
        <w:rPr>
          <w:b/>
          <w:bCs/>
          <w:i/>
          <w:iCs/>
          <w:color w:val="703E6D" w:themeColor="accent3" w:themeShade="80"/>
        </w:rPr>
        <w:t>h</w:t>
      </w:r>
      <w:r w:rsidRPr="00C72D2F">
        <w:rPr>
          <w:b/>
          <w:bCs/>
          <w:i/>
          <w:iCs/>
          <w:color w:val="703E6D" w:themeColor="accent3" w:themeShade="80"/>
        </w:rPr>
        <w:t xml:space="preserve">uman </w:t>
      </w:r>
      <w:r w:rsidR="005E2954">
        <w:rPr>
          <w:b/>
          <w:bCs/>
          <w:i/>
          <w:iCs/>
          <w:color w:val="703E6D" w:themeColor="accent3" w:themeShade="80"/>
        </w:rPr>
        <w:t>r</w:t>
      </w:r>
      <w:r w:rsidRPr="00C72D2F">
        <w:rPr>
          <w:b/>
          <w:bCs/>
          <w:i/>
          <w:iCs/>
          <w:color w:val="703E6D" w:themeColor="accent3" w:themeShade="80"/>
        </w:rPr>
        <w:t xml:space="preserve">ights and </w:t>
      </w:r>
      <w:r w:rsidR="005E2954">
        <w:rPr>
          <w:b/>
          <w:bCs/>
          <w:i/>
          <w:iCs/>
          <w:color w:val="703E6D" w:themeColor="accent3" w:themeShade="80"/>
        </w:rPr>
        <w:t>p</w:t>
      </w:r>
      <w:r w:rsidRPr="00C72D2F">
        <w:rPr>
          <w:b/>
          <w:bCs/>
          <w:i/>
          <w:iCs/>
          <w:color w:val="703E6D" w:themeColor="accent3" w:themeShade="80"/>
        </w:rPr>
        <w:t>erson-</w:t>
      </w:r>
      <w:r w:rsidR="005E2954">
        <w:rPr>
          <w:b/>
          <w:bCs/>
          <w:i/>
          <w:iCs/>
          <w:color w:val="703E6D" w:themeColor="accent3" w:themeShade="80"/>
        </w:rPr>
        <w:t>c</w:t>
      </w:r>
      <w:r w:rsidRPr="00C72D2F">
        <w:rPr>
          <w:b/>
          <w:bCs/>
          <w:i/>
          <w:iCs/>
          <w:color w:val="703E6D" w:themeColor="accent3" w:themeShade="80"/>
        </w:rPr>
        <w:t xml:space="preserve">entred </w:t>
      </w:r>
      <w:r w:rsidR="005E2954">
        <w:rPr>
          <w:b/>
          <w:bCs/>
          <w:i/>
          <w:iCs/>
          <w:color w:val="703E6D" w:themeColor="accent3" w:themeShade="80"/>
        </w:rPr>
        <w:t>c</w:t>
      </w:r>
      <w:r w:rsidRPr="00C72D2F">
        <w:rPr>
          <w:b/>
          <w:bCs/>
          <w:i/>
          <w:iCs/>
          <w:color w:val="703E6D" w:themeColor="accent3" w:themeShade="80"/>
        </w:rPr>
        <w:t xml:space="preserve">are in </w:t>
      </w:r>
      <w:r w:rsidR="005E2954">
        <w:rPr>
          <w:b/>
          <w:bCs/>
          <w:i/>
          <w:iCs/>
          <w:color w:val="703E6D" w:themeColor="accent3" w:themeShade="80"/>
        </w:rPr>
        <w:t>a</w:t>
      </w:r>
      <w:r w:rsidRPr="00C72D2F">
        <w:rPr>
          <w:b/>
          <w:bCs/>
          <w:i/>
          <w:iCs/>
          <w:color w:val="703E6D" w:themeColor="accent3" w:themeShade="80"/>
        </w:rPr>
        <w:t xml:space="preserve">ged </w:t>
      </w:r>
      <w:r w:rsidR="005E2954">
        <w:rPr>
          <w:b/>
          <w:bCs/>
          <w:i/>
          <w:iCs/>
          <w:color w:val="703E6D" w:themeColor="accent3" w:themeShade="80"/>
        </w:rPr>
        <w:t>c</w:t>
      </w:r>
      <w:r w:rsidRPr="00C72D2F">
        <w:rPr>
          <w:b/>
          <w:bCs/>
          <w:i/>
          <w:iCs/>
          <w:color w:val="703E6D" w:themeColor="accent3" w:themeShade="80"/>
        </w:rPr>
        <w:t>are.</w:t>
      </w:r>
    </w:p>
    <w:p w14:paraId="054A6418" w14:textId="77777777" w:rsidR="00853F04" w:rsidRDefault="00853F04" w:rsidP="00853F04">
      <w:r>
        <w:t xml:space="preserve">This year our work will be sharply focussed on ways the government can ensure the vision of the new </w:t>
      </w:r>
      <w:r>
        <w:rPr>
          <w:i/>
          <w:iCs/>
        </w:rPr>
        <w:t xml:space="preserve">Aged Care Act 2024 </w:t>
      </w:r>
      <w:r>
        <w:t>is implemented, and not just theoretical. It reflects the voices of our stakeholders, who we have listened to, and who have told us their experiences of the system as providers, advocates, peak bodies and individuals with lived experience.</w:t>
      </w:r>
    </w:p>
    <w:p w14:paraId="11EEA9CA" w14:textId="77777777" w:rsidR="00853F04" w:rsidRDefault="00853F04" w:rsidP="00853F04">
      <w:r>
        <w:t xml:space="preserve">Before you jump in to read this, there are a couple of things you should know. The themes and topics of this work plan </w:t>
      </w:r>
      <w:r w:rsidRPr="007B247F">
        <w:t>are not simply driven by my own interest, nor are they a gut-response</w:t>
      </w:r>
      <w:r>
        <w:t xml:space="preserve">. We asked the community and a diverse group of stakeholders: what would make the greatest change in propelling the aged care system we have now into the one envisaged by the Royal Commission into Aged Care Quality and Safety? What would be most influential in achieving a system that </w:t>
      </w:r>
      <w:proofErr w:type="gramStart"/>
      <w:r>
        <w:t>each and every</w:t>
      </w:r>
      <w:proofErr w:type="gramEnd"/>
      <w:r>
        <w:t xml:space="preserve"> one of you would feel fulfilled and happy to grow old within?</w:t>
      </w:r>
    </w:p>
    <w:p w14:paraId="0BF45F49" w14:textId="77777777" w:rsidR="00853F04" w:rsidRDefault="00853F04" w:rsidP="00853F04">
      <w:r>
        <w:t xml:space="preserve">The reports, activities and products we generate from this proposed plan of work </w:t>
      </w:r>
      <w:r w:rsidRPr="00E861F2">
        <w:t xml:space="preserve">will seek to differentiate our approach from business-as-usual government oversight by centring the people our Office exists to advocate on behalf of </w:t>
      </w:r>
      <w:r>
        <w:t>—</w:t>
      </w:r>
      <w:r w:rsidRPr="00E861F2">
        <w:t xml:space="preserve"> older </w:t>
      </w:r>
      <w:r>
        <w:t xml:space="preserve">people in </w:t>
      </w:r>
      <w:r w:rsidRPr="00E861F2">
        <w:t xml:space="preserve">Australia </w:t>
      </w:r>
      <w:r>
        <w:t>—</w:t>
      </w:r>
      <w:r w:rsidRPr="00E861F2">
        <w:t xml:space="preserve"> in our processes just as much as our end-products. We aim to produce materials that have been generated from different vantage points and in engaging formats, that are very practical and digestible, all the while providing a dynamic and robust evidence base for future policy reform</w:t>
      </w:r>
      <w:r>
        <w:t xml:space="preserve">. The impact we drive from our oversight activities will be as much about the way in </w:t>
      </w:r>
      <w:r>
        <w:lastRenderedPageBreak/>
        <w:t>which we collaboratively develop them, how we use them and share them, as it is about their content.</w:t>
      </w:r>
    </w:p>
    <w:p w14:paraId="38F83023" w14:textId="77777777" w:rsidR="00853F04" w:rsidRDefault="00853F04" w:rsidP="00853F04">
      <w:r>
        <w:t xml:space="preserve">I am also very excited to share that this financial year we will institute and embed our systemic oversight of the way the Commonwealth manages complaints across the aged care </w:t>
      </w:r>
      <w:proofErr w:type="gramStart"/>
      <w:r>
        <w:t>system;</w:t>
      </w:r>
      <w:proofErr w:type="gramEnd"/>
      <w:r>
        <w:t xml:space="preserve"> a distinct objective of my own establishing legislation.</w:t>
      </w:r>
    </w:p>
    <w:p w14:paraId="245B8688" w14:textId="77777777" w:rsidR="00853F04" w:rsidRPr="005248FA" w:rsidRDefault="00853F04" w:rsidP="00853F04">
      <w:pPr>
        <w:rPr>
          <w:b/>
          <w:bCs/>
        </w:rPr>
      </w:pPr>
      <w:r>
        <w:t>As the Inspector-General, I have a mandate to call out where government can improve the administration, regulation and funding of the system, and to highlight areas where things are working well. This year’s work plan provides a balance between assessing current practices, highlighting innovative models and providing recommendations for continuous improvement.</w:t>
      </w:r>
    </w:p>
    <w:p w14:paraId="550A892C" w14:textId="7249626A" w:rsidR="00246547" w:rsidRPr="005248FA" w:rsidRDefault="00E03EB8" w:rsidP="00246547">
      <w:r w:rsidRPr="00E03EB8">
        <w:rPr>
          <w:noProof/>
        </w:rPr>
        <w:drawing>
          <wp:inline distT="0" distB="0" distL="0" distR="0" wp14:anchorId="34F588F8" wp14:editId="48486681">
            <wp:extent cx="1647938" cy="838200"/>
            <wp:effectExtent l="0" t="0" r="9525" b="0"/>
            <wp:docPr id="253922110" name="Picture 1" descr="signature of Natalie Siegel-Brown,&#10;Inspector-General of Aged Ca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22110" name="Picture 1" descr="signature of Natalie Siegel-Brown,&#10;Inspector-General of Aged Care&#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225" cy="842924"/>
                    </a:xfrm>
                    <a:prstGeom prst="rect">
                      <a:avLst/>
                    </a:prstGeom>
                    <a:noFill/>
                    <a:ln>
                      <a:noFill/>
                    </a:ln>
                  </pic:spPr>
                </pic:pic>
              </a:graphicData>
            </a:graphic>
          </wp:inline>
        </w:drawing>
      </w:r>
    </w:p>
    <w:p w14:paraId="453D6ECE" w14:textId="77777777" w:rsidR="00356EEA" w:rsidRPr="00356EEA" w:rsidRDefault="00356EEA" w:rsidP="00D11BF7">
      <w:pPr>
        <w:rPr>
          <w:b/>
          <w:bCs/>
        </w:rPr>
      </w:pPr>
    </w:p>
    <w:p w14:paraId="33A92B8E" w14:textId="0E4D442F" w:rsidR="00356EEA" w:rsidRPr="00356EEA" w:rsidRDefault="00246547" w:rsidP="00D11BF7">
      <w:pPr>
        <w:rPr>
          <w:b/>
          <w:bCs/>
        </w:rPr>
      </w:pPr>
      <w:r w:rsidRPr="00356EEA">
        <w:rPr>
          <w:b/>
          <w:bCs/>
        </w:rPr>
        <w:t>Natalie Siegel-Brown</w:t>
      </w:r>
    </w:p>
    <w:p w14:paraId="211A6B4A" w14:textId="6CD1CF1F" w:rsidR="006564D5" w:rsidRDefault="00246547" w:rsidP="003B20C5">
      <w:r w:rsidRPr="000774AF">
        <w:t>Inspector-General of Age</w:t>
      </w:r>
      <w:r>
        <w:t>d Care</w:t>
      </w:r>
      <w:bookmarkStart w:id="5" w:name="_Toc206703306"/>
    </w:p>
    <w:p w14:paraId="2A4B5557" w14:textId="77777777" w:rsidR="006564D5" w:rsidRDefault="006564D5" w:rsidP="006564D5"/>
    <w:p w14:paraId="37C2004D" w14:textId="77777777" w:rsidR="006564D5" w:rsidRPr="006564D5" w:rsidRDefault="006564D5" w:rsidP="006564D5">
      <w:pPr>
        <w:sectPr w:rsidR="006564D5" w:rsidRPr="006564D5" w:rsidSect="00485DE2">
          <w:pgSz w:w="11900" w:h="16840" w:code="9"/>
          <w:pgMar w:top="1440" w:right="1440" w:bottom="1440" w:left="1440" w:header="709" w:footer="510" w:gutter="0"/>
          <w:pgNumType w:start="1"/>
          <w:cols w:space="708"/>
          <w:titlePg/>
          <w:docGrid w:linePitch="360"/>
        </w:sectPr>
      </w:pPr>
    </w:p>
    <w:bookmarkEnd w:id="5" w:displacedByCustomXml="next"/>
    <w:bookmarkStart w:id="6" w:name="_Toc207110560" w:displacedByCustomXml="next"/>
    <w:sdt>
      <w:sdtPr>
        <w:rPr>
          <w:rFonts w:eastAsiaTheme="minorEastAsia" w:cstheme="majorHAnsi"/>
          <w:b w:val="0"/>
          <w:bCs w:val="0"/>
          <w:color w:val="auto"/>
          <w:sz w:val="24"/>
          <w:szCs w:val="24"/>
        </w:rPr>
        <w:id w:val="-1841610153"/>
        <w:docPartObj>
          <w:docPartGallery w:val="Table of Contents"/>
          <w:docPartUnique/>
        </w:docPartObj>
      </w:sdtPr>
      <w:sdtEndPr>
        <w:rPr>
          <w:noProof/>
        </w:rPr>
      </w:sdtEndPr>
      <w:sdtContent>
        <w:p w14:paraId="00F30FF7" w14:textId="70BDA44E" w:rsidR="001E464B" w:rsidRDefault="001E464B">
          <w:pPr>
            <w:pStyle w:val="TOCHeading"/>
          </w:pPr>
          <w:r>
            <w:t xml:space="preserve">Table of </w:t>
          </w:r>
          <w:r w:rsidR="00AE3336">
            <w:t>c</w:t>
          </w:r>
          <w:r>
            <w:t>ontents</w:t>
          </w:r>
          <w:bookmarkEnd w:id="6"/>
        </w:p>
        <w:p w14:paraId="1D989D9B" w14:textId="77777777" w:rsidR="005B12CA" w:rsidRPr="005B12CA" w:rsidRDefault="005B12CA" w:rsidP="005B12CA"/>
        <w:p w14:paraId="5EE3AF33" w14:textId="49B51741" w:rsidR="005846F2" w:rsidRDefault="001E464B">
          <w:pPr>
            <w:pStyle w:val="TOC1"/>
            <w:rPr>
              <w:rFonts w:cstheme="minorBidi"/>
              <w:b w:val="0"/>
              <w:bCs w:val="0"/>
              <w:color w:val="auto"/>
              <w:lang w:eastAsia="en-AU"/>
              <w14:ligatures w14:val="standardContextual"/>
            </w:rPr>
          </w:pPr>
          <w:r>
            <w:fldChar w:fldCharType="begin"/>
          </w:r>
          <w:r>
            <w:instrText xml:space="preserve"> TOC \o "1-3" \h \z \u </w:instrText>
          </w:r>
          <w:r>
            <w:fldChar w:fldCharType="separate"/>
          </w:r>
          <w:hyperlink w:anchor="_Toc207110559" w:history="1">
            <w:r w:rsidR="005846F2" w:rsidRPr="002706CF">
              <w:rPr>
                <w:rStyle w:val="Hyperlink"/>
              </w:rPr>
              <w:t>Foreword</w:t>
            </w:r>
            <w:r w:rsidR="005846F2">
              <w:rPr>
                <w:webHidden/>
              </w:rPr>
              <w:tab/>
            </w:r>
            <w:r w:rsidR="005846F2">
              <w:rPr>
                <w:webHidden/>
              </w:rPr>
              <w:fldChar w:fldCharType="begin"/>
            </w:r>
            <w:r w:rsidR="005846F2">
              <w:rPr>
                <w:webHidden/>
              </w:rPr>
              <w:instrText xml:space="preserve"> PAGEREF _Toc207110559 \h </w:instrText>
            </w:r>
            <w:r w:rsidR="005846F2">
              <w:rPr>
                <w:webHidden/>
              </w:rPr>
            </w:r>
            <w:r w:rsidR="005846F2">
              <w:rPr>
                <w:webHidden/>
              </w:rPr>
              <w:fldChar w:fldCharType="separate"/>
            </w:r>
            <w:r w:rsidR="00A37BC5">
              <w:rPr>
                <w:webHidden/>
              </w:rPr>
              <w:t>1</w:t>
            </w:r>
            <w:r w:rsidR="005846F2">
              <w:rPr>
                <w:webHidden/>
              </w:rPr>
              <w:fldChar w:fldCharType="end"/>
            </w:r>
          </w:hyperlink>
        </w:p>
        <w:p w14:paraId="5FC524C5" w14:textId="54075FCD" w:rsidR="005846F2" w:rsidRDefault="005846F2">
          <w:pPr>
            <w:pStyle w:val="TOC1"/>
            <w:rPr>
              <w:rFonts w:cstheme="minorBidi"/>
              <w:b w:val="0"/>
              <w:bCs w:val="0"/>
              <w:color w:val="auto"/>
              <w:lang w:eastAsia="en-AU"/>
              <w14:ligatures w14:val="standardContextual"/>
            </w:rPr>
          </w:pPr>
          <w:hyperlink w:anchor="_Toc207110560" w:history="1">
            <w:r w:rsidRPr="002706CF">
              <w:rPr>
                <w:rStyle w:val="Hyperlink"/>
              </w:rPr>
              <w:t>Table of contents</w:t>
            </w:r>
            <w:r>
              <w:rPr>
                <w:webHidden/>
              </w:rPr>
              <w:tab/>
            </w:r>
            <w:r>
              <w:rPr>
                <w:webHidden/>
              </w:rPr>
              <w:fldChar w:fldCharType="begin"/>
            </w:r>
            <w:r>
              <w:rPr>
                <w:webHidden/>
              </w:rPr>
              <w:instrText xml:space="preserve"> PAGEREF _Toc207110560 \h </w:instrText>
            </w:r>
            <w:r>
              <w:rPr>
                <w:webHidden/>
              </w:rPr>
            </w:r>
            <w:r>
              <w:rPr>
                <w:webHidden/>
              </w:rPr>
              <w:fldChar w:fldCharType="separate"/>
            </w:r>
            <w:r w:rsidR="00A37BC5">
              <w:rPr>
                <w:webHidden/>
              </w:rPr>
              <w:t>3</w:t>
            </w:r>
            <w:r>
              <w:rPr>
                <w:webHidden/>
              </w:rPr>
              <w:fldChar w:fldCharType="end"/>
            </w:r>
          </w:hyperlink>
        </w:p>
        <w:p w14:paraId="29209354" w14:textId="3C603CED" w:rsidR="005846F2" w:rsidRDefault="005846F2">
          <w:pPr>
            <w:pStyle w:val="TOC2"/>
            <w:rPr>
              <w:rFonts w:cstheme="minorBidi"/>
              <w:bCs w:val="0"/>
              <w:color w:val="auto"/>
              <w:szCs w:val="24"/>
              <w:lang w:eastAsia="en-AU"/>
              <w14:ligatures w14:val="standardContextual"/>
            </w:rPr>
          </w:pPr>
          <w:hyperlink w:anchor="_Toc207110561" w:history="1">
            <w:r w:rsidRPr="002706CF">
              <w:rPr>
                <w:rStyle w:val="Hyperlink"/>
              </w:rPr>
              <w:t>1.</w:t>
            </w:r>
            <w:r>
              <w:rPr>
                <w:rFonts w:cstheme="minorBidi"/>
                <w:bCs w:val="0"/>
                <w:color w:val="auto"/>
                <w:szCs w:val="24"/>
                <w:lang w:eastAsia="en-AU"/>
                <w14:ligatures w14:val="standardContextual"/>
              </w:rPr>
              <w:tab/>
            </w:r>
            <w:r w:rsidRPr="002706CF">
              <w:rPr>
                <w:rStyle w:val="Hyperlink"/>
              </w:rPr>
              <w:t>Introduction: Development of the Annual Work Plan</w:t>
            </w:r>
            <w:r>
              <w:rPr>
                <w:webHidden/>
              </w:rPr>
              <w:tab/>
            </w:r>
            <w:r>
              <w:rPr>
                <w:webHidden/>
              </w:rPr>
              <w:fldChar w:fldCharType="begin"/>
            </w:r>
            <w:r>
              <w:rPr>
                <w:webHidden/>
              </w:rPr>
              <w:instrText xml:space="preserve"> PAGEREF _Toc207110561 \h </w:instrText>
            </w:r>
            <w:r>
              <w:rPr>
                <w:webHidden/>
              </w:rPr>
            </w:r>
            <w:r>
              <w:rPr>
                <w:webHidden/>
              </w:rPr>
              <w:fldChar w:fldCharType="separate"/>
            </w:r>
            <w:r w:rsidR="00A37BC5">
              <w:rPr>
                <w:webHidden/>
              </w:rPr>
              <w:t>4</w:t>
            </w:r>
            <w:r>
              <w:rPr>
                <w:webHidden/>
              </w:rPr>
              <w:fldChar w:fldCharType="end"/>
            </w:r>
          </w:hyperlink>
        </w:p>
        <w:p w14:paraId="61C0B75C" w14:textId="611B317B" w:rsidR="005846F2" w:rsidRDefault="005846F2">
          <w:pPr>
            <w:pStyle w:val="TOC3"/>
            <w:rPr>
              <w:rFonts w:cstheme="minorBidi"/>
              <w:sz w:val="24"/>
              <w:szCs w:val="24"/>
              <w:lang w:eastAsia="en-AU"/>
              <w14:ligatures w14:val="standardContextual"/>
            </w:rPr>
          </w:pPr>
          <w:hyperlink w:anchor="_Toc207110563" w:history="1">
            <w:r w:rsidRPr="002706CF">
              <w:rPr>
                <w:rStyle w:val="Hyperlink"/>
              </w:rPr>
              <w:t>1.1</w:t>
            </w:r>
            <w:r>
              <w:rPr>
                <w:rFonts w:cstheme="minorBidi"/>
                <w:sz w:val="24"/>
                <w:szCs w:val="24"/>
                <w:lang w:eastAsia="en-AU"/>
                <w14:ligatures w14:val="standardContextual"/>
              </w:rPr>
              <w:tab/>
            </w:r>
            <w:r w:rsidRPr="002706CF">
              <w:rPr>
                <w:rStyle w:val="Hyperlink"/>
              </w:rPr>
              <w:t>Structure of the work plan</w:t>
            </w:r>
            <w:r>
              <w:rPr>
                <w:webHidden/>
              </w:rPr>
              <w:tab/>
            </w:r>
            <w:r>
              <w:rPr>
                <w:webHidden/>
              </w:rPr>
              <w:fldChar w:fldCharType="begin"/>
            </w:r>
            <w:r>
              <w:rPr>
                <w:webHidden/>
              </w:rPr>
              <w:instrText xml:space="preserve"> PAGEREF _Toc207110563 \h </w:instrText>
            </w:r>
            <w:r>
              <w:rPr>
                <w:webHidden/>
              </w:rPr>
            </w:r>
            <w:r>
              <w:rPr>
                <w:webHidden/>
              </w:rPr>
              <w:fldChar w:fldCharType="separate"/>
            </w:r>
            <w:r w:rsidR="00A37BC5">
              <w:rPr>
                <w:webHidden/>
              </w:rPr>
              <w:t>5</w:t>
            </w:r>
            <w:r>
              <w:rPr>
                <w:webHidden/>
              </w:rPr>
              <w:fldChar w:fldCharType="end"/>
            </w:r>
          </w:hyperlink>
        </w:p>
        <w:p w14:paraId="394726F4" w14:textId="7AAEC79B" w:rsidR="005846F2" w:rsidRDefault="005846F2">
          <w:pPr>
            <w:pStyle w:val="TOC3"/>
            <w:rPr>
              <w:rFonts w:cstheme="minorBidi"/>
              <w:sz w:val="24"/>
              <w:szCs w:val="24"/>
              <w:lang w:eastAsia="en-AU"/>
              <w14:ligatures w14:val="standardContextual"/>
            </w:rPr>
          </w:pPr>
          <w:hyperlink w:anchor="_Toc207110564" w:history="1">
            <w:r w:rsidRPr="002706CF">
              <w:rPr>
                <w:rStyle w:val="Hyperlink"/>
              </w:rPr>
              <w:t>1.2</w:t>
            </w:r>
            <w:r>
              <w:rPr>
                <w:rFonts w:cstheme="minorBidi"/>
                <w:sz w:val="24"/>
                <w:szCs w:val="24"/>
                <w:lang w:eastAsia="en-AU"/>
                <w14:ligatures w14:val="standardContextual"/>
              </w:rPr>
              <w:tab/>
            </w:r>
            <w:r w:rsidRPr="002706CF">
              <w:rPr>
                <w:rStyle w:val="Hyperlink"/>
              </w:rPr>
              <w:t>How did we decide our key focus topics for 2025–2026?</w:t>
            </w:r>
            <w:r>
              <w:rPr>
                <w:webHidden/>
              </w:rPr>
              <w:tab/>
            </w:r>
            <w:r>
              <w:rPr>
                <w:webHidden/>
              </w:rPr>
              <w:fldChar w:fldCharType="begin"/>
            </w:r>
            <w:r>
              <w:rPr>
                <w:webHidden/>
              </w:rPr>
              <w:instrText xml:space="preserve"> PAGEREF _Toc207110564 \h </w:instrText>
            </w:r>
            <w:r>
              <w:rPr>
                <w:webHidden/>
              </w:rPr>
            </w:r>
            <w:r>
              <w:rPr>
                <w:webHidden/>
              </w:rPr>
              <w:fldChar w:fldCharType="separate"/>
            </w:r>
            <w:r w:rsidR="00A37BC5">
              <w:rPr>
                <w:webHidden/>
              </w:rPr>
              <w:t>5</w:t>
            </w:r>
            <w:r>
              <w:rPr>
                <w:webHidden/>
              </w:rPr>
              <w:fldChar w:fldCharType="end"/>
            </w:r>
          </w:hyperlink>
        </w:p>
        <w:p w14:paraId="79AE3302" w14:textId="2E35B6E3" w:rsidR="005846F2" w:rsidRDefault="005846F2">
          <w:pPr>
            <w:pStyle w:val="TOC2"/>
            <w:rPr>
              <w:rFonts w:cstheme="minorBidi"/>
              <w:bCs w:val="0"/>
              <w:color w:val="auto"/>
              <w:szCs w:val="24"/>
              <w:lang w:eastAsia="en-AU"/>
              <w14:ligatures w14:val="standardContextual"/>
            </w:rPr>
          </w:pPr>
          <w:hyperlink w:anchor="_Toc207110565" w:history="1">
            <w:r w:rsidRPr="002706CF">
              <w:rPr>
                <w:rStyle w:val="Hyperlink"/>
              </w:rPr>
              <w:t>2.</w:t>
            </w:r>
            <w:r>
              <w:rPr>
                <w:rFonts w:cstheme="minorBidi"/>
                <w:bCs w:val="0"/>
                <w:color w:val="auto"/>
                <w:szCs w:val="24"/>
                <w:lang w:eastAsia="en-AU"/>
                <w14:ligatures w14:val="standardContextual"/>
              </w:rPr>
              <w:tab/>
            </w:r>
            <w:r w:rsidRPr="002706CF">
              <w:rPr>
                <w:rStyle w:val="Hyperlink"/>
              </w:rPr>
              <w:t>Reviews</w:t>
            </w:r>
            <w:r>
              <w:rPr>
                <w:webHidden/>
              </w:rPr>
              <w:tab/>
            </w:r>
            <w:r>
              <w:rPr>
                <w:webHidden/>
              </w:rPr>
              <w:fldChar w:fldCharType="begin"/>
            </w:r>
            <w:r>
              <w:rPr>
                <w:webHidden/>
              </w:rPr>
              <w:instrText xml:space="preserve"> PAGEREF _Toc207110565 \h </w:instrText>
            </w:r>
            <w:r>
              <w:rPr>
                <w:webHidden/>
              </w:rPr>
            </w:r>
            <w:r>
              <w:rPr>
                <w:webHidden/>
              </w:rPr>
              <w:fldChar w:fldCharType="separate"/>
            </w:r>
            <w:r w:rsidR="00A37BC5">
              <w:rPr>
                <w:webHidden/>
              </w:rPr>
              <w:t>8</w:t>
            </w:r>
            <w:r>
              <w:rPr>
                <w:webHidden/>
              </w:rPr>
              <w:fldChar w:fldCharType="end"/>
            </w:r>
          </w:hyperlink>
        </w:p>
        <w:p w14:paraId="2AE7C1CC" w14:textId="299A2E24" w:rsidR="005846F2" w:rsidRDefault="005846F2">
          <w:pPr>
            <w:pStyle w:val="TOC2"/>
            <w:rPr>
              <w:rFonts w:cstheme="minorBidi"/>
              <w:bCs w:val="0"/>
              <w:color w:val="auto"/>
              <w:szCs w:val="24"/>
              <w:lang w:eastAsia="en-AU"/>
              <w14:ligatures w14:val="standardContextual"/>
            </w:rPr>
          </w:pPr>
          <w:hyperlink w:anchor="_Toc207110566" w:history="1">
            <w:r w:rsidRPr="002706CF">
              <w:rPr>
                <w:rStyle w:val="Hyperlink"/>
              </w:rPr>
              <w:t>Planned activities for 2025–26</w:t>
            </w:r>
            <w:r>
              <w:rPr>
                <w:webHidden/>
              </w:rPr>
              <w:tab/>
            </w:r>
            <w:r>
              <w:rPr>
                <w:webHidden/>
              </w:rPr>
              <w:fldChar w:fldCharType="begin"/>
            </w:r>
            <w:r>
              <w:rPr>
                <w:webHidden/>
              </w:rPr>
              <w:instrText xml:space="preserve"> PAGEREF _Toc207110566 \h </w:instrText>
            </w:r>
            <w:r>
              <w:rPr>
                <w:webHidden/>
              </w:rPr>
            </w:r>
            <w:r>
              <w:rPr>
                <w:webHidden/>
              </w:rPr>
              <w:fldChar w:fldCharType="separate"/>
            </w:r>
            <w:r w:rsidR="00A37BC5">
              <w:rPr>
                <w:webHidden/>
              </w:rPr>
              <w:t>8</w:t>
            </w:r>
            <w:r>
              <w:rPr>
                <w:webHidden/>
              </w:rPr>
              <w:fldChar w:fldCharType="end"/>
            </w:r>
          </w:hyperlink>
        </w:p>
        <w:p w14:paraId="18028282" w14:textId="70D5C8EB" w:rsidR="005846F2" w:rsidRDefault="005846F2">
          <w:pPr>
            <w:pStyle w:val="TOC3"/>
            <w:rPr>
              <w:rFonts w:cstheme="minorBidi"/>
              <w:sz w:val="24"/>
              <w:szCs w:val="24"/>
              <w:lang w:eastAsia="en-AU"/>
              <w14:ligatures w14:val="standardContextual"/>
            </w:rPr>
          </w:pPr>
          <w:hyperlink w:anchor="_Toc207110567" w:history="1">
            <w:r w:rsidRPr="002706CF">
              <w:rPr>
                <w:rStyle w:val="Hyperlink"/>
              </w:rPr>
              <w:t>2.1</w:t>
            </w:r>
            <w:r>
              <w:rPr>
                <w:rFonts w:cstheme="minorBidi"/>
                <w:sz w:val="24"/>
                <w:szCs w:val="24"/>
                <w:lang w:eastAsia="en-AU"/>
                <w14:ligatures w14:val="standardContextual"/>
              </w:rPr>
              <w:tab/>
            </w:r>
            <w:r w:rsidRPr="002706CF">
              <w:rPr>
                <w:rStyle w:val="Hyperlink"/>
              </w:rPr>
              <w:t>Finalise the Review of the Administration of My Aged Care</w:t>
            </w:r>
            <w:r>
              <w:rPr>
                <w:webHidden/>
              </w:rPr>
              <w:tab/>
            </w:r>
            <w:r>
              <w:rPr>
                <w:webHidden/>
              </w:rPr>
              <w:fldChar w:fldCharType="begin"/>
            </w:r>
            <w:r>
              <w:rPr>
                <w:webHidden/>
              </w:rPr>
              <w:instrText xml:space="preserve"> PAGEREF _Toc207110567 \h </w:instrText>
            </w:r>
            <w:r>
              <w:rPr>
                <w:webHidden/>
              </w:rPr>
            </w:r>
            <w:r>
              <w:rPr>
                <w:webHidden/>
              </w:rPr>
              <w:fldChar w:fldCharType="separate"/>
            </w:r>
            <w:r w:rsidR="00A37BC5">
              <w:rPr>
                <w:webHidden/>
              </w:rPr>
              <w:t>8</w:t>
            </w:r>
            <w:r>
              <w:rPr>
                <w:webHidden/>
              </w:rPr>
              <w:fldChar w:fldCharType="end"/>
            </w:r>
          </w:hyperlink>
        </w:p>
        <w:p w14:paraId="33556F13" w14:textId="46BD8E75" w:rsidR="005846F2" w:rsidRDefault="005846F2">
          <w:pPr>
            <w:pStyle w:val="TOC3"/>
            <w:rPr>
              <w:rFonts w:cstheme="minorBidi"/>
              <w:sz w:val="24"/>
              <w:szCs w:val="24"/>
              <w:lang w:eastAsia="en-AU"/>
              <w14:ligatures w14:val="standardContextual"/>
            </w:rPr>
          </w:pPr>
          <w:hyperlink w:anchor="_Toc207110568" w:history="1">
            <w:r w:rsidRPr="002706CF">
              <w:rPr>
                <w:rStyle w:val="Hyperlink"/>
              </w:rPr>
              <w:t>2.2</w:t>
            </w:r>
            <w:r>
              <w:rPr>
                <w:rFonts w:cstheme="minorBidi"/>
                <w:sz w:val="24"/>
                <w:szCs w:val="24"/>
                <w:lang w:eastAsia="en-AU"/>
                <w14:ligatures w14:val="standardContextual"/>
              </w:rPr>
              <w:tab/>
            </w:r>
            <w:r w:rsidRPr="002706CF">
              <w:rPr>
                <w:rStyle w:val="Hyperlink"/>
              </w:rPr>
              <w:t>Commence the Review of the Implementation of Aged Care Royal Commission Recommendations</w:t>
            </w:r>
            <w:r>
              <w:rPr>
                <w:webHidden/>
              </w:rPr>
              <w:tab/>
            </w:r>
            <w:r>
              <w:rPr>
                <w:webHidden/>
              </w:rPr>
              <w:fldChar w:fldCharType="begin"/>
            </w:r>
            <w:r>
              <w:rPr>
                <w:webHidden/>
              </w:rPr>
              <w:instrText xml:space="preserve"> PAGEREF _Toc207110568 \h </w:instrText>
            </w:r>
            <w:r>
              <w:rPr>
                <w:webHidden/>
              </w:rPr>
            </w:r>
            <w:r>
              <w:rPr>
                <w:webHidden/>
              </w:rPr>
              <w:fldChar w:fldCharType="separate"/>
            </w:r>
            <w:r w:rsidR="00A37BC5">
              <w:rPr>
                <w:webHidden/>
              </w:rPr>
              <w:t>8</w:t>
            </w:r>
            <w:r>
              <w:rPr>
                <w:webHidden/>
              </w:rPr>
              <w:fldChar w:fldCharType="end"/>
            </w:r>
          </w:hyperlink>
        </w:p>
        <w:p w14:paraId="6F92E811" w14:textId="693718A9" w:rsidR="005846F2" w:rsidRDefault="005846F2">
          <w:pPr>
            <w:pStyle w:val="TOC2"/>
            <w:rPr>
              <w:rFonts w:cstheme="minorBidi"/>
              <w:bCs w:val="0"/>
              <w:color w:val="auto"/>
              <w:szCs w:val="24"/>
              <w:lang w:eastAsia="en-AU"/>
              <w14:ligatures w14:val="standardContextual"/>
            </w:rPr>
          </w:pPr>
          <w:hyperlink w:anchor="_Toc207110569" w:history="1">
            <w:r w:rsidRPr="002706CF">
              <w:rPr>
                <w:rStyle w:val="Hyperlink"/>
              </w:rPr>
              <w:t>3.</w:t>
            </w:r>
            <w:r>
              <w:rPr>
                <w:rFonts w:cstheme="minorBidi"/>
                <w:bCs w:val="0"/>
                <w:color w:val="auto"/>
                <w:szCs w:val="24"/>
                <w:lang w:eastAsia="en-AU"/>
                <w14:ligatures w14:val="standardContextual"/>
              </w:rPr>
              <w:tab/>
            </w:r>
            <w:r w:rsidRPr="002706CF">
              <w:rPr>
                <w:rStyle w:val="Hyperlink"/>
              </w:rPr>
              <w:t>Driving change through focussed oversight projects</w:t>
            </w:r>
            <w:r>
              <w:rPr>
                <w:webHidden/>
              </w:rPr>
              <w:tab/>
            </w:r>
            <w:r>
              <w:rPr>
                <w:webHidden/>
              </w:rPr>
              <w:fldChar w:fldCharType="begin"/>
            </w:r>
            <w:r>
              <w:rPr>
                <w:webHidden/>
              </w:rPr>
              <w:instrText xml:space="preserve"> PAGEREF _Toc207110569 \h </w:instrText>
            </w:r>
            <w:r>
              <w:rPr>
                <w:webHidden/>
              </w:rPr>
            </w:r>
            <w:r>
              <w:rPr>
                <w:webHidden/>
              </w:rPr>
              <w:fldChar w:fldCharType="separate"/>
            </w:r>
            <w:r w:rsidR="00A37BC5">
              <w:rPr>
                <w:webHidden/>
              </w:rPr>
              <w:t>9</w:t>
            </w:r>
            <w:r>
              <w:rPr>
                <w:webHidden/>
              </w:rPr>
              <w:fldChar w:fldCharType="end"/>
            </w:r>
          </w:hyperlink>
        </w:p>
        <w:p w14:paraId="71DDCEE8" w14:textId="570B98E5" w:rsidR="005846F2" w:rsidRDefault="005846F2">
          <w:pPr>
            <w:pStyle w:val="TOC2"/>
            <w:rPr>
              <w:rFonts w:cstheme="minorBidi"/>
              <w:bCs w:val="0"/>
              <w:color w:val="auto"/>
              <w:szCs w:val="24"/>
              <w:lang w:eastAsia="en-AU"/>
              <w14:ligatures w14:val="standardContextual"/>
            </w:rPr>
          </w:pPr>
          <w:hyperlink w:anchor="_Toc207110570" w:history="1">
            <w:r w:rsidRPr="002706CF">
              <w:rPr>
                <w:rStyle w:val="Hyperlink"/>
              </w:rPr>
              <w:t>Work to be commenced in 2025–2026</w:t>
            </w:r>
            <w:r>
              <w:rPr>
                <w:webHidden/>
              </w:rPr>
              <w:tab/>
            </w:r>
            <w:r>
              <w:rPr>
                <w:webHidden/>
              </w:rPr>
              <w:fldChar w:fldCharType="begin"/>
            </w:r>
            <w:r>
              <w:rPr>
                <w:webHidden/>
              </w:rPr>
              <w:instrText xml:space="preserve"> PAGEREF _Toc207110570 \h </w:instrText>
            </w:r>
            <w:r>
              <w:rPr>
                <w:webHidden/>
              </w:rPr>
            </w:r>
            <w:r>
              <w:rPr>
                <w:webHidden/>
              </w:rPr>
              <w:fldChar w:fldCharType="separate"/>
            </w:r>
            <w:r w:rsidR="00A37BC5">
              <w:rPr>
                <w:webHidden/>
              </w:rPr>
              <w:t>9</w:t>
            </w:r>
            <w:r>
              <w:rPr>
                <w:webHidden/>
              </w:rPr>
              <w:fldChar w:fldCharType="end"/>
            </w:r>
          </w:hyperlink>
        </w:p>
        <w:p w14:paraId="65578880" w14:textId="4B918AD2" w:rsidR="005846F2" w:rsidRDefault="005846F2">
          <w:pPr>
            <w:pStyle w:val="TOC3"/>
            <w:rPr>
              <w:rFonts w:cstheme="minorBidi"/>
              <w:sz w:val="24"/>
              <w:szCs w:val="24"/>
              <w:lang w:eastAsia="en-AU"/>
              <w14:ligatures w14:val="standardContextual"/>
            </w:rPr>
          </w:pPr>
          <w:hyperlink w:anchor="_Toc207110571" w:history="1">
            <w:r w:rsidRPr="002706CF">
              <w:rPr>
                <w:rStyle w:val="Hyperlink"/>
              </w:rPr>
              <w:t>3.1</w:t>
            </w:r>
            <w:r>
              <w:rPr>
                <w:rFonts w:cstheme="minorBidi"/>
                <w:sz w:val="24"/>
                <w:szCs w:val="24"/>
                <w:lang w:eastAsia="en-AU"/>
                <w14:ligatures w14:val="standardContextual"/>
              </w:rPr>
              <w:tab/>
            </w:r>
            <w:r w:rsidRPr="002706CF">
              <w:rPr>
                <w:rStyle w:val="Hyperlink"/>
              </w:rPr>
              <w:t>Human rights</w:t>
            </w:r>
            <w:r>
              <w:rPr>
                <w:webHidden/>
              </w:rPr>
              <w:tab/>
            </w:r>
            <w:r>
              <w:rPr>
                <w:webHidden/>
              </w:rPr>
              <w:fldChar w:fldCharType="begin"/>
            </w:r>
            <w:r>
              <w:rPr>
                <w:webHidden/>
              </w:rPr>
              <w:instrText xml:space="preserve"> PAGEREF _Toc207110571 \h </w:instrText>
            </w:r>
            <w:r>
              <w:rPr>
                <w:webHidden/>
              </w:rPr>
            </w:r>
            <w:r>
              <w:rPr>
                <w:webHidden/>
              </w:rPr>
              <w:fldChar w:fldCharType="separate"/>
            </w:r>
            <w:r w:rsidR="00A37BC5">
              <w:rPr>
                <w:webHidden/>
              </w:rPr>
              <w:t>9</w:t>
            </w:r>
            <w:r>
              <w:rPr>
                <w:webHidden/>
              </w:rPr>
              <w:fldChar w:fldCharType="end"/>
            </w:r>
          </w:hyperlink>
        </w:p>
        <w:p w14:paraId="6A1C77D4" w14:textId="4E45133A" w:rsidR="005846F2" w:rsidRDefault="005846F2">
          <w:pPr>
            <w:pStyle w:val="TOC3"/>
            <w:rPr>
              <w:rFonts w:cstheme="minorBidi"/>
              <w:sz w:val="24"/>
              <w:szCs w:val="24"/>
              <w:lang w:eastAsia="en-AU"/>
              <w14:ligatures w14:val="standardContextual"/>
            </w:rPr>
          </w:pPr>
          <w:hyperlink w:anchor="_Toc207110572" w:history="1">
            <w:r w:rsidRPr="002706CF">
              <w:rPr>
                <w:rStyle w:val="Hyperlink"/>
              </w:rPr>
              <w:t>3.2</w:t>
            </w:r>
            <w:r>
              <w:rPr>
                <w:rFonts w:cstheme="minorBidi"/>
                <w:sz w:val="24"/>
                <w:szCs w:val="24"/>
                <w:lang w:eastAsia="en-AU"/>
                <w14:ligatures w14:val="standardContextual"/>
              </w:rPr>
              <w:tab/>
            </w:r>
            <w:r w:rsidRPr="002706CF">
              <w:rPr>
                <w:rStyle w:val="Hyperlink"/>
              </w:rPr>
              <w:t>An equitable and sustainable aged care system</w:t>
            </w:r>
            <w:r>
              <w:rPr>
                <w:webHidden/>
              </w:rPr>
              <w:tab/>
            </w:r>
            <w:r>
              <w:rPr>
                <w:webHidden/>
              </w:rPr>
              <w:fldChar w:fldCharType="begin"/>
            </w:r>
            <w:r>
              <w:rPr>
                <w:webHidden/>
              </w:rPr>
              <w:instrText xml:space="preserve"> PAGEREF _Toc207110572 \h </w:instrText>
            </w:r>
            <w:r>
              <w:rPr>
                <w:webHidden/>
              </w:rPr>
            </w:r>
            <w:r>
              <w:rPr>
                <w:webHidden/>
              </w:rPr>
              <w:fldChar w:fldCharType="separate"/>
            </w:r>
            <w:r w:rsidR="00A37BC5">
              <w:rPr>
                <w:webHidden/>
              </w:rPr>
              <w:t>10</w:t>
            </w:r>
            <w:r>
              <w:rPr>
                <w:webHidden/>
              </w:rPr>
              <w:fldChar w:fldCharType="end"/>
            </w:r>
          </w:hyperlink>
        </w:p>
        <w:p w14:paraId="612DFE58" w14:textId="44D8C848" w:rsidR="005846F2" w:rsidRDefault="005846F2">
          <w:pPr>
            <w:pStyle w:val="TOC3"/>
            <w:rPr>
              <w:rFonts w:cstheme="minorBidi"/>
              <w:sz w:val="24"/>
              <w:szCs w:val="24"/>
              <w:lang w:eastAsia="en-AU"/>
              <w14:ligatures w14:val="standardContextual"/>
            </w:rPr>
          </w:pPr>
          <w:hyperlink w:anchor="_Toc207110573" w:history="1">
            <w:r w:rsidRPr="002706CF">
              <w:rPr>
                <w:rStyle w:val="Hyperlink"/>
              </w:rPr>
              <w:t>3.3</w:t>
            </w:r>
            <w:r>
              <w:rPr>
                <w:rFonts w:cstheme="minorBidi"/>
                <w:sz w:val="24"/>
                <w:szCs w:val="24"/>
                <w:lang w:eastAsia="en-AU"/>
                <w14:ligatures w14:val="standardContextual"/>
              </w:rPr>
              <w:tab/>
            </w:r>
            <w:r w:rsidRPr="002706CF">
              <w:rPr>
                <w:rStyle w:val="Hyperlink"/>
              </w:rPr>
              <w:t>Reliable safeguarding and oversight of the system</w:t>
            </w:r>
            <w:r>
              <w:rPr>
                <w:webHidden/>
              </w:rPr>
              <w:tab/>
            </w:r>
            <w:r>
              <w:rPr>
                <w:webHidden/>
              </w:rPr>
              <w:fldChar w:fldCharType="begin"/>
            </w:r>
            <w:r>
              <w:rPr>
                <w:webHidden/>
              </w:rPr>
              <w:instrText xml:space="preserve"> PAGEREF _Toc207110573 \h </w:instrText>
            </w:r>
            <w:r>
              <w:rPr>
                <w:webHidden/>
              </w:rPr>
            </w:r>
            <w:r>
              <w:rPr>
                <w:webHidden/>
              </w:rPr>
              <w:fldChar w:fldCharType="separate"/>
            </w:r>
            <w:r w:rsidR="00A37BC5">
              <w:rPr>
                <w:webHidden/>
              </w:rPr>
              <w:t>11</w:t>
            </w:r>
            <w:r>
              <w:rPr>
                <w:webHidden/>
              </w:rPr>
              <w:fldChar w:fldCharType="end"/>
            </w:r>
          </w:hyperlink>
        </w:p>
        <w:p w14:paraId="3C835940" w14:textId="4795FEC6" w:rsidR="005846F2" w:rsidRDefault="005846F2">
          <w:pPr>
            <w:pStyle w:val="TOC2"/>
            <w:rPr>
              <w:rFonts w:cstheme="minorBidi"/>
              <w:bCs w:val="0"/>
              <w:color w:val="auto"/>
              <w:szCs w:val="24"/>
              <w:lang w:eastAsia="en-AU"/>
              <w14:ligatures w14:val="standardContextual"/>
            </w:rPr>
          </w:pPr>
          <w:hyperlink w:anchor="_Toc207110574" w:history="1">
            <w:r w:rsidRPr="002706CF">
              <w:rPr>
                <w:rStyle w:val="Hyperlink"/>
              </w:rPr>
              <w:t>4.</w:t>
            </w:r>
            <w:r>
              <w:rPr>
                <w:rFonts w:cstheme="minorBidi"/>
                <w:bCs w:val="0"/>
                <w:color w:val="auto"/>
                <w:szCs w:val="24"/>
                <w:lang w:eastAsia="en-AU"/>
                <w14:ligatures w14:val="standardContextual"/>
              </w:rPr>
              <w:tab/>
            </w:r>
            <w:r w:rsidRPr="002706CF">
              <w:rPr>
                <w:rStyle w:val="Hyperlink"/>
              </w:rPr>
              <w:t>Monitoring program</w:t>
            </w:r>
            <w:r>
              <w:rPr>
                <w:webHidden/>
              </w:rPr>
              <w:tab/>
            </w:r>
            <w:r>
              <w:rPr>
                <w:webHidden/>
              </w:rPr>
              <w:fldChar w:fldCharType="begin"/>
            </w:r>
            <w:r>
              <w:rPr>
                <w:webHidden/>
              </w:rPr>
              <w:instrText xml:space="preserve"> PAGEREF _Toc207110574 \h </w:instrText>
            </w:r>
            <w:r>
              <w:rPr>
                <w:webHidden/>
              </w:rPr>
            </w:r>
            <w:r>
              <w:rPr>
                <w:webHidden/>
              </w:rPr>
              <w:fldChar w:fldCharType="separate"/>
            </w:r>
            <w:r w:rsidR="00A37BC5">
              <w:rPr>
                <w:webHidden/>
              </w:rPr>
              <w:t>12</w:t>
            </w:r>
            <w:r>
              <w:rPr>
                <w:webHidden/>
              </w:rPr>
              <w:fldChar w:fldCharType="end"/>
            </w:r>
          </w:hyperlink>
        </w:p>
        <w:p w14:paraId="1603B994" w14:textId="3C0F9CF7" w:rsidR="005846F2" w:rsidRDefault="005846F2">
          <w:pPr>
            <w:pStyle w:val="TOC3"/>
            <w:rPr>
              <w:rFonts w:cstheme="minorBidi"/>
              <w:sz w:val="24"/>
              <w:szCs w:val="24"/>
              <w:lang w:eastAsia="en-AU"/>
              <w14:ligatures w14:val="standardContextual"/>
            </w:rPr>
          </w:pPr>
          <w:hyperlink w:anchor="_Toc207110575" w:history="1">
            <w:r w:rsidRPr="002706CF">
              <w:rPr>
                <w:rStyle w:val="Hyperlink"/>
              </w:rPr>
              <w:t>4.1</w:t>
            </w:r>
            <w:r>
              <w:rPr>
                <w:rFonts w:cstheme="minorBidi"/>
                <w:sz w:val="24"/>
                <w:szCs w:val="24"/>
                <w:lang w:eastAsia="en-AU"/>
                <w14:ligatures w14:val="standardContextual"/>
              </w:rPr>
              <w:tab/>
            </w:r>
            <w:r w:rsidRPr="002706CF">
              <w:rPr>
                <w:rStyle w:val="Hyperlink"/>
              </w:rPr>
              <w:t>An equitable and sustainable aged care system</w:t>
            </w:r>
            <w:r>
              <w:rPr>
                <w:webHidden/>
              </w:rPr>
              <w:tab/>
            </w:r>
            <w:r>
              <w:rPr>
                <w:webHidden/>
              </w:rPr>
              <w:fldChar w:fldCharType="begin"/>
            </w:r>
            <w:r>
              <w:rPr>
                <w:webHidden/>
              </w:rPr>
              <w:instrText xml:space="preserve"> PAGEREF _Toc207110575 \h </w:instrText>
            </w:r>
            <w:r>
              <w:rPr>
                <w:webHidden/>
              </w:rPr>
            </w:r>
            <w:r>
              <w:rPr>
                <w:webHidden/>
              </w:rPr>
              <w:fldChar w:fldCharType="separate"/>
            </w:r>
            <w:r w:rsidR="00A37BC5">
              <w:rPr>
                <w:webHidden/>
              </w:rPr>
              <w:t>12</w:t>
            </w:r>
            <w:r>
              <w:rPr>
                <w:webHidden/>
              </w:rPr>
              <w:fldChar w:fldCharType="end"/>
            </w:r>
          </w:hyperlink>
        </w:p>
        <w:p w14:paraId="27F327A0" w14:textId="7308D3E7" w:rsidR="005846F2" w:rsidRDefault="005846F2">
          <w:pPr>
            <w:pStyle w:val="TOC3"/>
            <w:rPr>
              <w:rFonts w:cstheme="minorBidi"/>
              <w:sz w:val="24"/>
              <w:szCs w:val="24"/>
              <w:lang w:eastAsia="en-AU"/>
              <w14:ligatures w14:val="standardContextual"/>
            </w:rPr>
          </w:pPr>
          <w:hyperlink w:anchor="_Toc207110576" w:history="1">
            <w:r w:rsidRPr="002706CF">
              <w:rPr>
                <w:rStyle w:val="Hyperlink"/>
              </w:rPr>
              <w:t>4.2</w:t>
            </w:r>
            <w:r>
              <w:rPr>
                <w:rFonts w:cstheme="minorBidi"/>
                <w:sz w:val="24"/>
                <w:szCs w:val="24"/>
                <w:lang w:eastAsia="en-AU"/>
                <w14:ligatures w14:val="standardContextual"/>
              </w:rPr>
              <w:tab/>
            </w:r>
            <w:r w:rsidRPr="002706CF">
              <w:rPr>
                <w:rStyle w:val="Hyperlink"/>
              </w:rPr>
              <w:t>Reliable safeguarding and oversight of the system</w:t>
            </w:r>
            <w:r>
              <w:rPr>
                <w:webHidden/>
              </w:rPr>
              <w:tab/>
            </w:r>
            <w:r>
              <w:rPr>
                <w:webHidden/>
              </w:rPr>
              <w:fldChar w:fldCharType="begin"/>
            </w:r>
            <w:r>
              <w:rPr>
                <w:webHidden/>
              </w:rPr>
              <w:instrText xml:space="preserve"> PAGEREF _Toc207110576 \h </w:instrText>
            </w:r>
            <w:r>
              <w:rPr>
                <w:webHidden/>
              </w:rPr>
            </w:r>
            <w:r>
              <w:rPr>
                <w:webHidden/>
              </w:rPr>
              <w:fldChar w:fldCharType="separate"/>
            </w:r>
            <w:r w:rsidR="00A37BC5">
              <w:rPr>
                <w:webHidden/>
              </w:rPr>
              <w:t>13</w:t>
            </w:r>
            <w:r>
              <w:rPr>
                <w:webHidden/>
              </w:rPr>
              <w:fldChar w:fldCharType="end"/>
            </w:r>
          </w:hyperlink>
        </w:p>
        <w:p w14:paraId="3643FC31" w14:textId="4C1CAF53" w:rsidR="005846F2" w:rsidRDefault="005846F2">
          <w:pPr>
            <w:pStyle w:val="TOC2"/>
            <w:rPr>
              <w:rFonts w:cstheme="minorBidi"/>
              <w:bCs w:val="0"/>
              <w:color w:val="auto"/>
              <w:szCs w:val="24"/>
              <w:lang w:eastAsia="en-AU"/>
              <w14:ligatures w14:val="standardContextual"/>
            </w:rPr>
          </w:pPr>
          <w:hyperlink w:anchor="_Toc207110577" w:history="1">
            <w:r w:rsidRPr="002706CF">
              <w:rPr>
                <w:rStyle w:val="Hyperlink"/>
              </w:rPr>
              <w:t>5.</w:t>
            </w:r>
            <w:r>
              <w:rPr>
                <w:rFonts w:cstheme="minorBidi"/>
                <w:bCs w:val="0"/>
                <w:color w:val="auto"/>
                <w:szCs w:val="24"/>
                <w:lang w:eastAsia="en-AU"/>
                <w14:ligatures w14:val="standardContextual"/>
              </w:rPr>
              <w:tab/>
            </w:r>
            <w:r w:rsidRPr="002706CF">
              <w:rPr>
                <w:rStyle w:val="Hyperlink"/>
              </w:rPr>
              <w:t>Looking forward</w:t>
            </w:r>
            <w:r>
              <w:rPr>
                <w:webHidden/>
              </w:rPr>
              <w:tab/>
            </w:r>
            <w:r>
              <w:rPr>
                <w:webHidden/>
              </w:rPr>
              <w:fldChar w:fldCharType="begin"/>
            </w:r>
            <w:r>
              <w:rPr>
                <w:webHidden/>
              </w:rPr>
              <w:instrText xml:space="preserve"> PAGEREF _Toc207110577 \h </w:instrText>
            </w:r>
            <w:r>
              <w:rPr>
                <w:webHidden/>
              </w:rPr>
            </w:r>
            <w:r>
              <w:rPr>
                <w:webHidden/>
              </w:rPr>
              <w:fldChar w:fldCharType="separate"/>
            </w:r>
            <w:r w:rsidR="00A37BC5">
              <w:rPr>
                <w:webHidden/>
              </w:rPr>
              <w:t>14</w:t>
            </w:r>
            <w:r>
              <w:rPr>
                <w:webHidden/>
              </w:rPr>
              <w:fldChar w:fldCharType="end"/>
            </w:r>
          </w:hyperlink>
        </w:p>
        <w:p w14:paraId="692EC02F" w14:textId="33F0F975" w:rsidR="005846F2" w:rsidRDefault="005846F2">
          <w:pPr>
            <w:pStyle w:val="TOC3"/>
            <w:rPr>
              <w:rFonts w:cstheme="minorBidi"/>
              <w:sz w:val="24"/>
              <w:szCs w:val="24"/>
              <w:lang w:eastAsia="en-AU"/>
              <w14:ligatures w14:val="standardContextual"/>
            </w:rPr>
          </w:pPr>
          <w:hyperlink w:anchor="_Toc207110578" w:history="1">
            <w:r w:rsidRPr="002706CF">
              <w:rPr>
                <w:rStyle w:val="Hyperlink"/>
              </w:rPr>
              <w:t>5.1</w:t>
            </w:r>
            <w:r>
              <w:rPr>
                <w:rFonts w:cstheme="minorBidi"/>
                <w:sz w:val="24"/>
                <w:szCs w:val="24"/>
                <w:lang w:eastAsia="en-AU"/>
                <w14:ligatures w14:val="standardContextual"/>
              </w:rPr>
              <w:tab/>
            </w:r>
            <w:r w:rsidRPr="002706CF">
              <w:rPr>
                <w:rStyle w:val="Hyperlink"/>
              </w:rPr>
              <w:t>Human rights</w:t>
            </w:r>
            <w:r>
              <w:rPr>
                <w:webHidden/>
              </w:rPr>
              <w:tab/>
            </w:r>
            <w:r>
              <w:rPr>
                <w:webHidden/>
              </w:rPr>
              <w:fldChar w:fldCharType="begin"/>
            </w:r>
            <w:r>
              <w:rPr>
                <w:webHidden/>
              </w:rPr>
              <w:instrText xml:space="preserve"> PAGEREF _Toc207110578 \h </w:instrText>
            </w:r>
            <w:r>
              <w:rPr>
                <w:webHidden/>
              </w:rPr>
            </w:r>
            <w:r>
              <w:rPr>
                <w:webHidden/>
              </w:rPr>
              <w:fldChar w:fldCharType="separate"/>
            </w:r>
            <w:r w:rsidR="00A37BC5">
              <w:rPr>
                <w:webHidden/>
              </w:rPr>
              <w:t>14</w:t>
            </w:r>
            <w:r>
              <w:rPr>
                <w:webHidden/>
              </w:rPr>
              <w:fldChar w:fldCharType="end"/>
            </w:r>
          </w:hyperlink>
        </w:p>
        <w:p w14:paraId="418FC9DA" w14:textId="6C201A83" w:rsidR="005846F2" w:rsidRDefault="005846F2">
          <w:pPr>
            <w:pStyle w:val="TOC3"/>
            <w:rPr>
              <w:rFonts w:cstheme="minorBidi"/>
              <w:sz w:val="24"/>
              <w:szCs w:val="24"/>
              <w:lang w:eastAsia="en-AU"/>
              <w14:ligatures w14:val="standardContextual"/>
            </w:rPr>
          </w:pPr>
          <w:hyperlink w:anchor="_Toc207110579" w:history="1">
            <w:r w:rsidRPr="002706CF">
              <w:rPr>
                <w:rStyle w:val="Hyperlink"/>
              </w:rPr>
              <w:t>5.2</w:t>
            </w:r>
            <w:r>
              <w:rPr>
                <w:rFonts w:cstheme="minorBidi"/>
                <w:sz w:val="24"/>
                <w:szCs w:val="24"/>
                <w:lang w:eastAsia="en-AU"/>
                <w14:ligatures w14:val="standardContextual"/>
              </w:rPr>
              <w:tab/>
            </w:r>
            <w:r w:rsidRPr="002706CF">
              <w:rPr>
                <w:rStyle w:val="Hyperlink"/>
              </w:rPr>
              <w:t>An equitable and sustainable aged care system</w:t>
            </w:r>
            <w:r>
              <w:rPr>
                <w:webHidden/>
              </w:rPr>
              <w:tab/>
            </w:r>
            <w:r>
              <w:rPr>
                <w:webHidden/>
              </w:rPr>
              <w:fldChar w:fldCharType="begin"/>
            </w:r>
            <w:r>
              <w:rPr>
                <w:webHidden/>
              </w:rPr>
              <w:instrText xml:space="preserve"> PAGEREF _Toc207110579 \h </w:instrText>
            </w:r>
            <w:r>
              <w:rPr>
                <w:webHidden/>
              </w:rPr>
            </w:r>
            <w:r>
              <w:rPr>
                <w:webHidden/>
              </w:rPr>
              <w:fldChar w:fldCharType="separate"/>
            </w:r>
            <w:r w:rsidR="00A37BC5">
              <w:rPr>
                <w:webHidden/>
              </w:rPr>
              <w:t>14</w:t>
            </w:r>
            <w:r>
              <w:rPr>
                <w:webHidden/>
              </w:rPr>
              <w:fldChar w:fldCharType="end"/>
            </w:r>
          </w:hyperlink>
        </w:p>
        <w:p w14:paraId="443F96EC" w14:textId="4B2FD1A1" w:rsidR="005846F2" w:rsidRDefault="005846F2">
          <w:pPr>
            <w:pStyle w:val="TOC3"/>
            <w:rPr>
              <w:rFonts w:cstheme="minorBidi"/>
              <w:sz w:val="24"/>
              <w:szCs w:val="24"/>
              <w:lang w:eastAsia="en-AU"/>
              <w14:ligatures w14:val="standardContextual"/>
            </w:rPr>
          </w:pPr>
          <w:hyperlink w:anchor="_Toc207110580" w:history="1">
            <w:r w:rsidRPr="002706CF">
              <w:rPr>
                <w:rStyle w:val="Hyperlink"/>
              </w:rPr>
              <w:t>5.3</w:t>
            </w:r>
            <w:r>
              <w:rPr>
                <w:rFonts w:cstheme="minorBidi"/>
                <w:sz w:val="24"/>
                <w:szCs w:val="24"/>
                <w:lang w:eastAsia="en-AU"/>
                <w14:ligatures w14:val="standardContextual"/>
              </w:rPr>
              <w:tab/>
            </w:r>
            <w:r w:rsidRPr="002706CF">
              <w:rPr>
                <w:rStyle w:val="Hyperlink"/>
              </w:rPr>
              <w:t>Reliable safeguarding and oversight of the system</w:t>
            </w:r>
            <w:r>
              <w:rPr>
                <w:webHidden/>
              </w:rPr>
              <w:tab/>
            </w:r>
            <w:r>
              <w:rPr>
                <w:webHidden/>
              </w:rPr>
              <w:fldChar w:fldCharType="begin"/>
            </w:r>
            <w:r>
              <w:rPr>
                <w:webHidden/>
              </w:rPr>
              <w:instrText xml:space="preserve"> PAGEREF _Toc207110580 \h </w:instrText>
            </w:r>
            <w:r>
              <w:rPr>
                <w:webHidden/>
              </w:rPr>
            </w:r>
            <w:r>
              <w:rPr>
                <w:webHidden/>
              </w:rPr>
              <w:fldChar w:fldCharType="separate"/>
            </w:r>
            <w:r w:rsidR="00A37BC5">
              <w:rPr>
                <w:webHidden/>
              </w:rPr>
              <w:t>15</w:t>
            </w:r>
            <w:r>
              <w:rPr>
                <w:webHidden/>
              </w:rPr>
              <w:fldChar w:fldCharType="end"/>
            </w:r>
          </w:hyperlink>
        </w:p>
        <w:p w14:paraId="568DB6B2" w14:textId="3AA465DE" w:rsidR="005846F2" w:rsidRDefault="005846F2">
          <w:pPr>
            <w:pStyle w:val="TOC2"/>
            <w:rPr>
              <w:rFonts w:cstheme="minorBidi"/>
              <w:bCs w:val="0"/>
              <w:color w:val="auto"/>
              <w:szCs w:val="24"/>
              <w:lang w:eastAsia="en-AU"/>
              <w14:ligatures w14:val="standardContextual"/>
            </w:rPr>
          </w:pPr>
          <w:hyperlink w:anchor="_Toc207110581" w:history="1">
            <w:r w:rsidRPr="002706CF">
              <w:rPr>
                <w:rStyle w:val="Hyperlink"/>
              </w:rPr>
              <w:t>6.</w:t>
            </w:r>
            <w:r>
              <w:rPr>
                <w:rFonts w:cstheme="minorBidi"/>
                <w:bCs w:val="0"/>
                <w:color w:val="auto"/>
                <w:szCs w:val="24"/>
                <w:lang w:eastAsia="en-AU"/>
                <w14:ligatures w14:val="standardContextual"/>
              </w:rPr>
              <w:tab/>
            </w:r>
            <w:r w:rsidRPr="002706CF">
              <w:rPr>
                <w:rStyle w:val="Hyperlink"/>
              </w:rPr>
              <w:t>Conclusion</w:t>
            </w:r>
            <w:r>
              <w:rPr>
                <w:webHidden/>
              </w:rPr>
              <w:tab/>
            </w:r>
            <w:r>
              <w:rPr>
                <w:webHidden/>
              </w:rPr>
              <w:fldChar w:fldCharType="begin"/>
            </w:r>
            <w:r>
              <w:rPr>
                <w:webHidden/>
              </w:rPr>
              <w:instrText xml:space="preserve"> PAGEREF _Toc207110581 \h </w:instrText>
            </w:r>
            <w:r>
              <w:rPr>
                <w:webHidden/>
              </w:rPr>
            </w:r>
            <w:r>
              <w:rPr>
                <w:webHidden/>
              </w:rPr>
              <w:fldChar w:fldCharType="separate"/>
            </w:r>
            <w:r w:rsidR="00A37BC5">
              <w:rPr>
                <w:webHidden/>
              </w:rPr>
              <w:t>16</w:t>
            </w:r>
            <w:r>
              <w:rPr>
                <w:webHidden/>
              </w:rPr>
              <w:fldChar w:fldCharType="end"/>
            </w:r>
          </w:hyperlink>
        </w:p>
        <w:p w14:paraId="07B82C15" w14:textId="6F98114C" w:rsidR="001E464B" w:rsidRDefault="001E464B">
          <w:r>
            <w:rPr>
              <w:b/>
              <w:bCs/>
              <w:noProof/>
            </w:rPr>
            <w:fldChar w:fldCharType="end"/>
          </w:r>
        </w:p>
      </w:sdtContent>
    </w:sdt>
    <w:p w14:paraId="03308D5F" w14:textId="7DA4FAFD" w:rsidR="00645A34" w:rsidRPr="00645A34" w:rsidRDefault="00645A34" w:rsidP="00645A34">
      <w:pPr>
        <w:tabs>
          <w:tab w:val="left" w:pos="2970"/>
        </w:tabs>
      </w:pPr>
      <w:r>
        <w:tab/>
      </w:r>
    </w:p>
    <w:p w14:paraId="3C59909B" w14:textId="78AC1B6C" w:rsidR="00645A34" w:rsidRPr="00645A34" w:rsidRDefault="00645A34" w:rsidP="00645A34">
      <w:pPr>
        <w:tabs>
          <w:tab w:val="left" w:pos="2970"/>
        </w:tabs>
        <w:sectPr w:rsidR="00645A34" w:rsidRPr="00645A34" w:rsidSect="006A3B0F">
          <w:pgSz w:w="11900" w:h="16840" w:code="9"/>
          <w:pgMar w:top="1440" w:right="1127" w:bottom="1440" w:left="1440" w:header="709" w:footer="510" w:gutter="0"/>
          <w:cols w:space="708"/>
          <w:titlePg/>
          <w:docGrid w:linePitch="360"/>
        </w:sectPr>
      </w:pPr>
      <w:r>
        <w:tab/>
      </w:r>
    </w:p>
    <w:p w14:paraId="674DB41B" w14:textId="67C96FA2" w:rsidR="005B0279" w:rsidRPr="00F8665A" w:rsidRDefault="005B0279" w:rsidP="005D434A">
      <w:pPr>
        <w:pStyle w:val="Heading2"/>
      </w:pPr>
      <w:bookmarkStart w:id="7" w:name="_Toc204950290"/>
      <w:bookmarkStart w:id="8" w:name="_Toc206703309"/>
      <w:bookmarkStart w:id="9" w:name="_Toc206750416"/>
      <w:bookmarkStart w:id="10" w:name="_Toc207110561"/>
      <w:r w:rsidRPr="00F8665A">
        <w:lastRenderedPageBreak/>
        <w:t>Introduction</w:t>
      </w:r>
      <w:r w:rsidR="005B12CA">
        <w:t>:</w:t>
      </w:r>
      <w:r w:rsidR="000C3229">
        <w:t xml:space="preserve"> </w:t>
      </w:r>
      <w:r w:rsidRPr="00F8665A">
        <w:t>Development of the Annual Work Plan</w:t>
      </w:r>
      <w:bookmarkEnd w:id="7"/>
      <w:bookmarkEnd w:id="8"/>
      <w:bookmarkEnd w:id="9"/>
      <w:bookmarkEnd w:id="10"/>
    </w:p>
    <w:p w14:paraId="7E97CC08" w14:textId="77777777" w:rsidR="00F23BF2" w:rsidRPr="0063383E" w:rsidRDefault="00F23BF2" w:rsidP="00F23BF2">
      <w:pPr>
        <w:spacing w:before="240"/>
        <w:rPr>
          <w:rFonts w:cstheme="minorHAnsi"/>
          <w:szCs w:val="22"/>
        </w:rPr>
      </w:pPr>
      <w:r w:rsidRPr="0063383E">
        <w:rPr>
          <w:rFonts w:cstheme="minorHAnsi"/>
          <w:szCs w:val="22"/>
        </w:rPr>
        <w:t xml:space="preserve">The </w:t>
      </w:r>
      <w:r w:rsidRPr="0063383E">
        <w:rPr>
          <w:rFonts w:cstheme="minorHAnsi"/>
          <w:i/>
          <w:iCs/>
          <w:szCs w:val="22"/>
        </w:rPr>
        <w:t>Inspector-General of Aged Care Act</w:t>
      </w:r>
      <w:r w:rsidRPr="0063383E">
        <w:rPr>
          <w:rFonts w:cstheme="minorHAnsi"/>
          <w:szCs w:val="22"/>
        </w:rPr>
        <w:t xml:space="preserve"> </w:t>
      </w:r>
      <w:r w:rsidRPr="0063383E">
        <w:rPr>
          <w:rFonts w:cstheme="minorHAnsi"/>
          <w:i/>
          <w:iCs/>
          <w:szCs w:val="22"/>
        </w:rPr>
        <w:t>2023</w:t>
      </w:r>
      <w:r w:rsidRPr="0063383E">
        <w:rPr>
          <w:rFonts w:cstheme="minorHAnsi"/>
          <w:szCs w:val="22"/>
        </w:rPr>
        <w:t xml:space="preserve"> (the IGAC Act) requires the Inspector-General to prepare a </w:t>
      </w:r>
      <w:r>
        <w:rPr>
          <w:rFonts w:cstheme="minorHAnsi"/>
          <w:szCs w:val="22"/>
        </w:rPr>
        <w:t>w</w:t>
      </w:r>
      <w:r w:rsidRPr="0063383E">
        <w:rPr>
          <w:rFonts w:cstheme="minorHAnsi"/>
          <w:szCs w:val="22"/>
        </w:rPr>
        <w:t xml:space="preserve">ork </w:t>
      </w:r>
      <w:r>
        <w:rPr>
          <w:rFonts w:cstheme="minorHAnsi"/>
          <w:szCs w:val="22"/>
        </w:rPr>
        <w:t>p</w:t>
      </w:r>
      <w:r w:rsidRPr="0063383E">
        <w:rPr>
          <w:rFonts w:cstheme="minorHAnsi"/>
          <w:szCs w:val="22"/>
        </w:rPr>
        <w:t xml:space="preserve">lan for each financial year. This work plan must set out the key outcomes and priorities for the Inspector-General for the year, including any reviews that the Inspector-General intends to conduct under section 17 of the IGAC Act. </w:t>
      </w:r>
    </w:p>
    <w:p w14:paraId="551D32DA" w14:textId="55D8F9E0" w:rsidR="005B0279" w:rsidRDefault="00F23BF2" w:rsidP="005B0279">
      <w:pPr>
        <w:rPr>
          <w:rFonts w:cstheme="minorHAnsi"/>
          <w:szCs w:val="22"/>
        </w:rPr>
      </w:pPr>
      <w:r>
        <w:rPr>
          <w:rFonts w:cstheme="minorHAnsi"/>
          <w:szCs w:val="22"/>
        </w:rPr>
        <w:t xml:space="preserve">The </w:t>
      </w:r>
      <w:r w:rsidRPr="0063383E">
        <w:rPr>
          <w:rFonts w:cstheme="minorHAnsi"/>
          <w:szCs w:val="22"/>
        </w:rPr>
        <w:t xml:space="preserve">work plan is underpinned by the outcomes against which </w:t>
      </w:r>
      <w:r>
        <w:rPr>
          <w:rFonts w:cstheme="minorHAnsi"/>
          <w:szCs w:val="22"/>
        </w:rPr>
        <w:t xml:space="preserve">the Inspector-General </w:t>
      </w:r>
      <w:r w:rsidR="008C2E14">
        <w:rPr>
          <w:rFonts w:cstheme="minorHAnsi"/>
          <w:szCs w:val="22"/>
        </w:rPr>
        <w:t>commits to</w:t>
      </w:r>
      <w:r w:rsidRPr="0063383E">
        <w:rPr>
          <w:rFonts w:cstheme="minorHAnsi"/>
          <w:szCs w:val="22"/>
        </w:rPr>
        <w:t xml:space="preserve"> in </w:t>
      </w:r>
      <w:r>
        <w:rPr>
          <w:rFonts w:cstheme="minorHAnsi"/>
          <w:szCs w:val="22"/>
        </w:rPr>
        <w:t>our</w:t>
      </w:r>
      <w:r w:rsidRPr="0063383E">
        <w:rPr>
          <w:rFonts w:cstheme="minorHAnsi"/>
          <w:szCs w:val="22"/>
        </w:rPr>
        <w:t xml:space="preserve"> Strategic Framework </w:t>
      </w:r>
      <w:r>
        <w:rPr>
          <w:rFonts w:cstheme="minorHAnsi"/>
          <w:szCs w:val="22"/>
        </w:rPr>
        <w:t xml:space="preserve">(outlined below) which </w:t>
      </w:r>
      <w:r w:rsidRPr="0063383E">
        <w:rPr>
          <w:rFonts w:cstheme="minorHAnsi"/>
          <w:szCs w:val="22"/>
        </w:rPr>
        <w:t xml:space="preserve">sets out how </w:t>
      </w:r>
      <w:r>
        <w:rPr>
          <w:rFonts w:cstheme="minorHAnsi"/>
          <w:szCs w:val="22"/>
        </w:rPr>
        <w:t>the Office</w:t>
      </w:r>
      <w:r w:rsidRPr="0063383E">
        <w:rPr>
          <w:rFonts w:cstheme="minorHAnsi"/>
          <w:szCs w:val="22"/>
        </w:rPr>
        <w:t xml:space="preserve"> will </w:t>
      </w:r>
      <w:r>
        <w:rPr>
          <w:rFonts w:cstheme="minorHAnsi"/>
          <w:szCs w:val="22"/>
        </w:rPr>
        <w:t>deliver</w:t>
      </w:r>
      <w:r w:rsidRPr="0063383E">
        <w:rPr>
          <w:rFonts w:cstheme="minorHAnsi"/>
          <w:szCs w:val="22"/>
        </w:rPr>
        <w:t xml:space="preserve"> </w:t>
      </w:r>
      <w:r>
        <w:rPr>
          <w:rFonts w:cstheme="minorHAnsi"/>
          <w:szCs w:val="22"/>
        </w:rPr>
        <w:t>on its</w:t>
      </w:r>
      <w:r w:rsidRPr="0063383E">
        <w:rPr>
          <w:rFonts w:cstheme="minorHAnsi"/>
          <w:szCs w:val="22"/>
        </w:rPr>
        <w:t xml:space="preserve"> legislative functions, including the rationale for what should fall in, and outside of our work.</w:t>
      </w:r>
    </w:p>
    <w:p w14:paraId="34CF20D6" w14:textId="0E6887A7" w:rsidR="001B5CFA" w:rsidRPr="001012D9" w:rsidRDefault="001B5CFA" w:rsidP="005B0279">
      <w:pPr>
        <w:rPr>
          <w:rFonts w:cstheme="minorHAnsi"/>
          <w:szCs w:val="22"/>
        </w:rPr>
      </w:pPr>
      <w:r>
        <w:rPr>
          <w:noProof/>
          <w14:ligatures w14:val="standardContextual"/>
        </w:rPr>
        <w:drawing>
          <wp:anchor distT="0" distB="0" distL="114300" distR="114300" simplePos="0" relativeHeight="251673600" behindDoc="0" locked="0" layoutInCell="1" allowOverlap="1" wp14:anchorId="389D72EE" wp14:editId="5B28C7B1">
            <wp:simplePos x="0" y="0"/>
            <wp:positionH relativeFrom="margin">
              <wp:align>right</wp:align>
            </wp:positionH>
            <wp:positionV relativeFrom="paragraph">
              <wp:posOffset>210820</wp:posOffset>
            </wp:positionV>
            <wp:extent cx="5720080" cy="4752975"/>
            <wp:effectExtent l="0" t="0" r="0" b="9525"/>
            <wp:wrapTopAndBottom/>
            <wp:docPr id="559630523" name="Picture 1" descr="Diagram of the strategic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30523" name="Picture 1" descr="Diagram of the strategic framework"/>
                    <pic:cNvPicPr/>
                  </pic:nvPicPr>
                  <pic:blipFill>
                    <a:blip r:embed="rId21">
                      <a:extLst>
                        <a:ext uri="{28A0092B-C50C-407E-A947-70E740481C1C}">
                          <a14:useLocalDpi xmlns:a14="http://schemas.microsoft.com/office/drawing/2010/main" val="0"/>
                        </a:ext>
                      </a:extLst>
                    </a:blip>
                    <a:stretch>
                      <a:fillRect/>
                    </a:stretch>
                  </pic:blipFill>
                  <pic:spPr>
                    <a:xfrm>
                      <a:off x="0" y="0"/>
                      <a:ext cx="5720080" cy="4752975"/>
                    </a:xfrm>
                    <a:prstGeom prst="rect">
                      <a:avLst/>
                    </a:prstGeom>
                  </pic:spPr>
                </pic:pic>
              </a:graphicData>
            </a:graphic>
            <wp14:sizeRelH relativeFrom="margin">
              <wp14:pctWidth>0</wp14:pctWidth>
            </wp14:sizeRelH>
            <wp14:sizeRelV relativeFrom="margin">
              <wp14:pctHeight>0</wp14:pctHeight>
            </wp14:sizeRelV>
          </wp:anchor>
        </w:drawing>
      </w:r>
    </w:p>
    <w:p w14:paraId="3D090EB4" w14:textId="453A20D2" w:rsidR="00E55A18" w:rsidRDefault="00E55A18" w:rsidP="00E55A18">
      <w:pPr>
        <w:keepNext/>
      </w:pPr>
    </w:p>
    <w:p w14:paraId="20FCA30B" w14:textId="4E6AD712" w:rsidR="005846F2" w:rsidRDefault="00E55A18" w:rsidP="005846F2">
      <w:pPr>
        <w:pStyle w:val="Caption"/>
      </w:pPr>
      <w:r>
        <w:t xml:space="preserve">Figure </w:t>
      </w:r>
      <w:r>
        <w:fldChar w:fldCharType="begin"/>
      </w:r>
      <w:r>
        <w:instrText xml:space="preserve"> SEQ Figure \* ARABIC </w:instrText>
      </w:r>
      <w:r>
        <w:fldChar w:fldCharType="separate"/>
      </w:r>
      <w:r w:rsidR="00A37BC5">
        <w:rPr>
          <w:noProof/>
        </w:rPr>
        <w:t>1</w:t>
      </w:r>
      <w:r>
        <w:fldChar w:fldCharType="end"/>
      </w:r>
      <w:r>
        <w:t xml:space="preserve">: </w:t>
      </w:r>
      <w:r w:rsidRPr="008A53F8">
        <w:t>Office of the Inspector-General Strategic Framework</w:t>
      </w:r>
    </w:p>
    <w:p w14:paraId="2BF26B21" w14:textId="52EAA1BD" w:rsidR="005B0279" w:rsidRPr="00DE5032" w:rsidRDefault="005846F2" w:rsidP="00DE5032">
      <w:pPr>
        <w:pStyle w:val="Heading3"/>
      </w:pPr>
      <w:r>
        <w:br w:type="page"/>
      </w:r>
      <w:bookmarkStart w:id="11" w:name="_Toc207110562"/>
      <w:bookmarkStart w:id="12" w:name="_Toc206703310"/>
      <w:bookmarkStart w:id="13" w:name="_Toc206750417"/>
      <w:bookmarkStart w:id="14" w:name="_Toc207110563"/>
      <w:bookmarkEnd w:id="11"/>
      <w:r w:rsidR="00E272C6" w:rsidRPr="00DE5032">
        <w:lastRenderedPageBreak/>
        <w:t>Structure of the work plan</w:t>
      </w:r>
      <w:bookmarkEnd w:id="12"/>
      <w:bookmarkEnd w:id="13"/>
      <w:bookmarkEnd w:id="14"/>
    </w:p>
    <w:p w14:paraId="07A7F136" w14:textId="77777777" w:rsidR="00AC48D4" w:rsidRPr="0063383E" w:rsidRDefault="00AC48D4" w:rsidP="00AC48D4">
      <w:pPr>
        <w:rPr>
          <w:rFonts w:cstheme="minorHAnsi"/>
          <w:szCs w:val="22"/>
        </w:rPr>
      </w:pPr>
      <w:r w:rsidRPr="0063383E">
        <w:rPr>
          <w:rFonts w:cstheme="minorHAnsi"/>
          <w:szCs w:val="22"/>
        </w:rPr>
        <w:t xml:space="preserve">This work plan clearly demarcates </w:t>
      </w:r>
      <w:r>
        <w:rPr>
          <w:rFonts w:cstheme="minorHAnsi"/>
          <w:szCs w:val="22"/>
        </w:rPr>
        <w:t xml:space="preserve">the </w:t>
      </w:r>
      <w:r w:rsidRPr="0063383E">
        <w:rPr>
          <w:rFonts w:cstheme="minorHAnsi"/>
          <w:szCs w:val="22"/>
        </w:rPr>
        <w:t>projects and activities to monitor, investigate and report to Parliament on the government’s administration, funding and regulation of the aged care system</w:t>
      </w:r>
      <w:r>
        <w:rPr>
          <w:rFonts w:cstheme="minorHAnsi"/>
          <w:szCs w:val="22"/>
        </w:rPr>
        <w:t xml:space="preserve"> that the Office will commence</w:t>
      </w:r>
      <w:r w:rsidRPr="0063383E">
        <w:rPr>
          <w:rFonts w:cstheme="minorHAnsi"/>
          <w:szCs w:val="22"/>
        </w:rPr>
        <w:t xml:space="preserve"> in 2025–26 and provides an outline </w:t>
      </w:r>
      <w:r>
        <w:rPr>
          <w:rFonts w:cstheme="minorHAnsi"/>
          <w:szCs w:val="22"/>
        </w:rPr>
        <w:t>of the Inspector-General’s</w:t>
      </w:r>
      <w:r w:rsidRPr="0063383E">
        <w:rPr>
          <w:rFonts w:cstheme="minorHAnsi"/>
          <w:szCs w:val="22"/>
        </w:rPr>
        <w:t xml:space="preserve"> future priorities. The work plan is structure</w:t>
      </w:r>
      <w:r>
        <w:rPr>
          <w:rFonts w:cstheme="minorHAnsi"/>
          <w:szCs w:val="22"/>
        </w:rPr>
        <w:t>d</w:t>
      </w:r>
      <w:r w:rsidRPr="0063383E">
        <w:rPr>
          <w:rFonts w:cstheme="minorHAnsi"/>
          <w:szCs w:val="22"/>
        </w:rPr>
        <w:t xml:space="preserve"> as follows:</w:t>
      </w:r>
    </w:p>
    <w:p w14:paraId="50DD4C8E" w14:textId="77777777" w:rsidR="00AC48D4" w:rsidRPr="0063383E" w:rsidRDefault="00AC48D4" w:rsidP="00CF0BE4">
      <w:pPr>
        <w:pStyle w:val="ListParagraph"/>
        <w:numPr>
          <w:ilvl w:val="0"/>
          <w:numId w:val="4"/>
        </w:numPr>
        <w:tabs>
          <w:tab w:val="clear" w:pos="567"/>
          <w:tab w:val="clear" w:pos="1134"/>
          <w:tab w:val="clear" w:pos="1701"/>
          <w:tab w:val="clear" w:pos="2268"/>
        </w:tabs>
        <w:contextualSpacing/>
        <w:rPr>
          <w:rFonts w:cstheme="minorHAnsi"/>
          <w:szCs w:val="22"/>
        </w:rPr>
      </w:pPr>
      <w:r w:rsidRPr="0063383E">
        <w:rPr>
          <w:rFonts w:cstheme="minorHAnsi"/>
          <w:b/>
          <w:bCs/>
          <w:szCs w:val="22"/>
        </w:rPr>
        <w:t xml:space="preserve">Section 2 – Reviews: </w:t>
      </w:r>
      <w:r w:rsidRPr="001A72C9">
        <w:rPr>
          <w:rFonts w:cstheme="minorHAnsi"/>
          <w:szCs w:val="22"/>
        </w:rPr>
        <w:t>this section</w:t>
      </w:r>
      <w:r>
        <w:rPr>
          <w:rFonts w:cstheme="minorHAnsi"/>
          <w:b/>
          <w:bCs/>
          <w:szCs w:val="22"/>
        </w:rPr>
        <w:t xml:space="preserve"> </w:t>
      </w:r>
      <w:r w:rsidRPr="0063383E">
        <w:rPr>
          <w:rFonts w:cstheme="minorHAnsi"/>
          <w:szCs w:val="22"/>
        </w:rPr>
        <w:t>outlines the reviews that the Inspector-General</w:t>
      </w:r>
      <w:r>
        <w:rPr>
          <w:rFonts w:cstheme="minorHAnsi"/>
          <w:szCs w:val="22"/>
        </w:rPr>
        <w:t xml:space="preserve"> will</w:t>
      </w:r>
      <w:r w:rsidRPr="0063383E">
        <w:rPr>
          <w:rFonts w:cstheme="minorHAnsi"/>
          <w:szCs w:val="22"/>
        </w:rPr>
        <w:t xml:space="preserve"> conduct under the section 17 of the IGAC Act in the 2025–26 financial year. </w:t>
      </w:r>
    </w:p>
    <w:p w14:paraId="54CEB64E" w14:textId="77777777" w:rsidR="00AC48D4" w:rsidRPr="0063383E" w:rsidRDefault="00AC48D4" w:rsidP="00CF0BE4">
      <w:pPr>
        <w:pStyle w:val="ListParagraph"/>
        <w:numPr>
          <w:ilvl w:val="0"/>
          <w:numId w:val="4"/>
        </w:numPr>
        <w:tabs>
          <w:tab w:val="clear" w:pos="567"/>
          <w:tab w:val="clear" w:pos="1134"/>
          <w:tab w:val="clear" w:pos="1701"/>
          <w:tab w:val="clear" w:pos="2268"/>
        </w:tabs>
        <w:contextualSpacing/>
        <w:rPr>
          <w:rFonts w:cstheme="minorHAnsi"/>
          <w:szCs w:val="22"/>
        </w:rPr>
      </w:pPr>
      <w:r w:rsidRPr="0063383E">
        <w:rPr>
          <w:rFonts w:cstheme="minorHAnsi"/>
          <w:b/>
          <w:bCs/>
          <w:szCs w:val="22"/>
        </w:rPr>
        <w:t>Section 3 – Driving change through oversight:</w:t>
      </w:r>
      <w:r w:rsidRPr="0063383E">
        <w:rPr>
          <w:rFonts w:cstheme="minorHAnsi"/>
          <w:szCs w:val="22"/>
        </w:rPr>
        <w:t xml:space="preserve"> </w:t>
      </w:r>
      <w:r>
        <w:rPr>
          <w:rFonts w:cstheme="minorHAnsi"/>
          <w:szCs w:val="22"/>
        </w:rPr>
        <w:t xml:space="preserve">this section </w:t>
      </w:r>
      <w:r w:rsidRPr="0063383E">
        <w:rPr>
          <w:rFonts w:cstheme="minorHAnsi"/>
          <w:szCs w:val="22"/>
        </w:rPr>
        <w:t xml:space="preserve">highlights the focus areas </w:t>
      </w:r>
      <w:r>
        <w:rPr>
          <w:rFonts w:cstheme="minorHAnsi"/>
          <w:szCs w:val="22"/>
        </w:rPr>
        <w:t xml:space="preserve">that </w:t>
      </w:r>
      <w:r w:rsidRPr="0063383E">
        <w:rPr>
          <w:rFonts w:cstheme="minorHAnsi"/>
          <w:szCs w:val="22"/>
        </w:rPr>
        <w:t xml:space="preserve">the Office will commence work on in 2025–26, </w:t>
      </w:r>
      <w:r>
        <w:rPr>
          <w:rFonts w:cstheme="minorHAnsi"/>
          <w:szCs w:val="22"/>
        </w:rPr>
        <w:t>reflecting</w:t>
      </w:r>
      <w:r w:rsidRPr="0063383E">
        <w:rPr>
          <w:rFonts w:cstheme="minorHAnsi"/>
          <w:szCs w:val="22"/>
        </w:rPr>
        <w:t xml:space="preserve"> the key topics that have received overwhelming support from stakeholders as areas where government can enable transformative change. </w:t>
      </w:r>
    </w:p>
    <w:p w14:paraId="1934BC8F" w14:textId="77777777" w:rsidR="00AC48D4" w:rsidRPr="0063383E" w:rsidRDefault="00AC48D4" w:rsidP="00CF0BE4">
      <w:pPr>
        <w:pStyle w:val="ListParagraph"/>
        <w:numPr>
          <w:ilvl w:val="0"/>
          <w:numId w:val="4"/>
        </w:numPr>
        <w:tabs>
          <w:tab w:val="clear" w:pos="567"/>
          <w:tab w:val="clear" w:pos="1134"/>
          <w:tab w:val="clear" w:pos="1701"/>
          <w:tab w:val="clear" w:pos="2268"/>
        </w:tabs>
        <w:contextualSpacing/>
        <w:rPr>
          <w:rFonts w:cstheme="minorHAnsi"/>
          <w:szCs w:val="22"/>
        </w:rPr>
      </w:pPr>
      <w:r w:rsidRPr="0063383E">
        <w:rPr>
          <w:rFonts w:cstheme="minorHAnsi"/>
          <w:b/>
          <w:bCs/>
          <w:szCs w:val="22"/>
        </w:rPr>
        <w:t>Section 4 – Monitoring:</w:t>
      </w:r>
      <w:r w:rsidRPr="0063383E">
        <w:rPr>
          <w:rFonts w:cstheme="minorHAnsi"/>
          <w:szCs w:val="22"/>
        </w:rPr>
        <w:t xml:space="preserve"> </w:t>
      </w:r>
      <w:r>
        <w:rPr>
          <w:rFonts w:cstheme="minorHAnsi"/>
          <w:szCs w:val="22"/>
        </w:rPr>
        <w:t xml:space="preserve">this section </w:t>
      </w:r>
      <w:r w:rsidRPr="0063383E">
        <w:rPr>
          <w:rFonts w:cstheme="minorHAnsi"/>
          <w:szCs w:val="22"/>
        </w:rPr>
        <w:t xml:space="preserve">provides an overview of the current priority areas for </w:t>
      </w:r>
      <w:r>
        <w:rPr>
          <w:rFonts w:cstheme="minorHAnsi"/>
          <w:szCs w:val="22"/>
        </w:rPr>
        <w:t>the Office’s</w:t>
      </w:r>
      <w:r w:rsidRPr="0063383E">
        <w:rPr>
          <w:rFonts w:cstheme="minorHAnsi"/>
          <w:szCs w:val="22"/>
        </w:rPr>
        <w:t xml:space="preserve"> monitoring program. </w:t>
      </w:r>
    </w:p>
    <w:p w14:paraId="173274D8" w14:textId="1B846532" w:rsidR="00AC48D4" w:rsidRPr="0063383E" w:rsidRDefault="00AC48D4" w:rsidP="00CF0BE4">
      <w:pPr>
        <w:pStyle w:val="ListParagraph"/>
        <w:numPr>
          <w:ilvl w:val="0"/>
          <w:numId w:val="4"/>
        </w:numPr>
        <w:tabs>
          <w:tab w:val="clear" w:pos="567"/>
          <w:tab w:val="clear" w:pos="1134"/>
          <w:tab w:val="clear" w:pos="1701"/>
          <w:tab w:val="clear" w:pos="2268"/>
        </w:tabs>
        <w:contextualSpacing/>
        <w:rPr>
          <w:rFonts w:cstheme="minorHAnsi"/>
          <w:szCs w:val="22"/>
        </w:rPr>
      </w:pPr>
      <w:r w:rsidRPr="0063383E">
        <w:rPr>
          <w:rFonts w:cstheme="minorHAnsi"/>
          <w:b/>
          <w:bCs/>
          <w:szCs w:val="22"/>
        </w:rPr>
        <w:t xml:space="preserve">Section 5 – Looking </w:t>
      </w:r>
      <w:r w:rsidR="00DA15F2">
        <w:rPr>
          <w:rFonts w:cstheme="minorHAnsi"/>
          <w:b/>
          <w:bCs/>
          <w:szCs w:val="22"/>
        </w:rPr>
        <w:t>f</w:t>
      </w:r>
      <w:r w:rsidRPr="0063383E">
        <w:rPr>
          <w:rFonts w:cstheme="minorHAnsi"/>
          <w:b/>
          <w:bCs/>
          <w:szCs w:val="22"/>
        </w:rPr>
        <w:t>orward:</w:t>
      </w:r>
      <w:r w:rsidRPr="0063383E">
        <w:rPr>
          <w:rFonts w:cstheme="minorHAnsi"/>
          <w:szCs w:val="22"/>
        </w:rPr>
        <w:t xml:space="preserve"> </w:t>
      </w:r>
      <w:r>
        <w:rPr>
          <w:rFonts w:cstheme="minorHAnsi"/>
          <w:szCs w:val="22"/>
        </w:rPr>
        <w:t xml:space="preserve">this section </w:t>
      </w:r>
      <w:r w:rsidRPr="0063383E">
        <w:rPr>
          <w:rFonts w:cstheme="minorHAnsi"/>
          <w:szCs w:val="22"/>
        </w:rPr>
        <w:t xml:space="preserve">signals </w:t>
      </w:r>
      <w:r>
        <w:rPr>
          <w:rFonts w:cstheme="minorHAnsi"/>
          <w:szCs w:val="22"/>
        </w:rPr>
        <w:t>several</w:t>
      </w:r>
      <w:r w:rsidRPr="0063383E">
        <w:rPr>
          <w:rFonts w:cstheme="minorHAnsi"/>
          <w:szCs w:val="22"/>
        </w:rPr>
        <w:t xml:space="preserve"> priority </w:t>
      </w:r>
      <w:r>
        <w:rPr>
          <w:rFonts w:cstheme="minorHAnsi"/>
          <w:szCs w:val="22"/>
        </w:rPr>
        <w:t>areas raised by</w:t>
      </w:r>
      <w:r w:rsidRPr="0063383E">
        <w:rPr>
          <w:rFonts w:cstheme="minorHAnsi"/>
          <w:szCs w:val="22"/>
        </w:rPr>
        <w:t xml:space="preserve"> stakeholders</w:t>
      </w:r>
      <w:r>
        <w:rPr>
          <w:rFonts w:cstheme="minorHAnsi"/>
          <w:szCs w:val="22"/>
        </w:rPr>
        <w:t xml:space="preserve"> </w:t>
      </w:r>
      <w:r w:rsidRPr="0063383E">
        <w:rPr>
          <w:rFonts w:cstheme="minorHAnsi"/>
          <w:szCs w:val="22"/>
        </w:rPr>
        <w:t xml:space="preserve">that will be </w:t>
      </w:r>
      <w:r w:rsidR="0031505B">
        <w:rPr>
          <w:rFonts w:cstheme="minorHAnsi"/>
          <w:szCs w:val="22"/>
        </w:rPr>
        <w:t>monitored over 2</w:t>
      </w:r>
      <w:r w:rsidR="00A81EE0">
        <w:rPr>
          <w:rFonts w:cstheme="minorHAnsi"/>
          <w:szCs w:val="22"/>
        </w:rPr>
        <w:t>025-26 for potential</w:t>
      </w:r>
      <w:r w:rsidRPr="0063383E">
        <w:rPr>
          <w:rFonts w:cstheme="minorHAnsi"/>
          <w:szCs w:val="22"/>
        </w:rPr>
        <w:t xml:space="preserve"> progression </w:t>
      </w:r>
      <w:r w:rsidR="00A81EE0">
        <w:rPr>
          <w:rFonts w:cstheme="minorHAnsi"/>
          <w:szCs w:val="22"/>
        </w:rPr>
        <w:t xml:space="preserve">as major reviews, projects or reports </w:t>
      </w:r>
      <w:proofErr w:type="gramStart"/>
      <w:r w:rsidRPr="0063383E">
        <w:rPr>
          <w:rFonts w:cstheme="minorHAnsi"/>
          <w:szCs w:val="22"/>
        </w:rPr>
        <w:t xml:space="preserve">in </w:t>
      </w:r>
      <w:r>
        <w:rPr>
          <w:rFonts w:cstheme="minorHAnsi"/>
          <w:szCs w:val="22"/>
        </w:rPr>
        <w:t>the</w:t>
      </w:r>
      <w:r w:rsidR="00A81EE0">
        <w:rPr>
          <w:rFonts w:cstheme="minorHAnsi"/>
          <w:szCs w:val="22"/>
        </w:rPr>
        <w:t xml:space="preserve"> near</w:t>
      </w:r>
      <w:r>
        <w:rPr>
          <w:rFonts w:cstheme="minorHAnsi"/>
          <w:szCs w:val="22"/>
        </w:rPr>
        <w:t xml:space="preserve"> future</w:t>
      </w:r>
      <w:proofErr w:type="gramEnd"/>
      <w:r w:rsidRPr="0063383E">
        <w:rPr>
          <w:rFonts w:cstheme="minorHAnsi"/>
          <w:szCs w:val="22"/>
        </w:rPr>
        <w:t xml:space="preserve">. </w:t>
      </w:r>
    </w:p>
    <w:p w14:paraId="05B95378" w14:textId="77777777" w:rsidR="00AC48D4" w:rsidRPr="0063383E" w:rsidRDefault="00AC48D4" w:rsidP="00CF0BE4">
      <w:pPr>
        <w:pStyle w:val="ListParagraph"/>
        <w:numPr>
          <w:ilvl w:val="0"/>
          <w:numId w:val="4"/>
        </w:numPr>
        <w:tabs>
          <w:tab w:val="clear" w:pos="567"/>
          <w:tab w:val="clear" w:pos="1134"/>
          <w:tab w:val="clear" w:pos="1701"/>
          <w:tab w:val="clear" w:pos="2268"/>
        </w:tabs>
        <w:contextualSpacing/>
        <w:rPr>
          <w:rFonts w:cstheme="minorHAnsi"/>
          <w:szCs w:val="22"/>
        </w:rPr>
      </w:pPr>
      <w:r w:rsidRPr="0063383E">
        <w:rPr>
          <w:rFonts w:cstheme="minorHAnsi"/>
          <w:b/>
          <w:bCs/>
          <w:szCs w:val="22"/>
        </w:rPr>
        <w:t>Section 6 – Conclusion</w:t>
      </w:r>
      <w:r w:rsidRPr="0063383E">
        <w:rPr>
          <w:rFonts w:cstheme="minorHAnsi"/>
          <w:szCs w:val="22"/>
        </w:rPr>
        <w:t>.</w:t>
      </w:r>
    </w:p>
    <w:p w14:paraId="31C3E3A2" w14:textId="3A45EB91" w:rsidR="00AC48D4" w:rsidRPr="0063383E" w:rsidRDefault="00AC48D4" w:rsidP="00AC48D4">
      <w:pPr>
        <w:rPr>
          <w:rFonts w:cstheme="minorHAnsi"/>
          <w:szCs w:val="22"/>
        </w:rPr>
      </w:pPr>
      <w:r w:rsidRPr="0063383E">
        <w:rPr>
          <w:rFonts w:cstheme="minorHAnsi"/>
          <w:szCs w:val="22"/>
        </w:rPr>
        <w:t xml:space="preserve">Notably, the key activities outlined under </w:t>
      </w:r>
      <w:r w:rsidRPr="00341AD1">
        <w:rPr>
          <w:rFonts w:cstheme="minorHAnsi"/>
          <w:b/>
          <w:bCs/>
          <w:szCs w:val="22"/>
        </w:rPr>
        <w:t>sections 3 – 5</w:t>
      </w:r>
      <w:r w:rsidRPr="0063383E">
        <w:rPr>
          <w:rFonts w:cstheme="minorHAnsi"/>
          <w:szCs w:val="22"/>
        </w:rPr>
        <w:t xml:space="preserve"> have been further delineated into three main themes including: </w:t>
      </w:r>
      <w:r w:rsidR="00A81EE0">
        <w:rPr>
          <w:rFonts w:cstheme="minorHAnsi"/>
          <w:szCs w:val="22"/>
        </w:rPr>
        <w:t>‘</w:t>
      </w:r>
      <w:r w:rsidRPr="006F38F7">
        <w:rPr>
          <w:rFonts w:cstheme="minorHAnsi"/>
          <w:i/>
          <w:iCs/>
          <w:szCs w:val="22"/>
        </w:rPr>
        <w:t>human rights</w:t>
      </w:r>
      <w:r w:rsidR="00A81EE0">
        <w:rPr>
          <w:rFonts w:cstheme="minorHAnsi"/>
          <w:i/>
          <w:iCs/>
          <w:szCs w:val="22"/>
        </w:rPr>
        <w:t>’</w:t>
      </w:r>
      <w:r w:rsidRPr="006F38F7">
        <w:rPr>
          <w:rFonts w:cstheme="minorHAnsi"/>
          <w:i/>
          <w:iCs/>
          <w:szCs w:val="22"/>
        </w:rPr>
        <w:t xml:space="preserve">, </w:t>
      </w:r>
      <w:r w:rsidR="00A81EE0">
        <w:rPr>
          <w:rFonts w:cstheme="minorHAnsi"/>
          <w:i/>
          <w:iCs/>
          <w:szCs w:val="22"/>
        </w:rPr>
        <w:t>‘</w:t>
      </w:r>
      <w:r w:rsidRPr="006F38F7">
        <w:rPr>
          <w:rFonts w:cstheme="minorHAnsi"/>
          <w:i/>
          <w:iCs/>
          <w:szCs w:val="22"/>
        </w:rPr>
        <w:t>an equitable and sustainable aged care system and reliable safeguarding</w:t>
      </w:r>
      <w:r w:rsidR="00A81EE0">
        <w:rPr>
          <w:rFonts w:cstheme="minorHAnsi"/>
          <w:i/>
          <w:iCs/>
          <w:szCs w:val="22"/>
        </w:rPr>
        <w:t>’</w:t>
      </w:r>
      <w:r w:rsidRPr="0063383E">
        <w:rPr>
          <w:rFonts w:cstheme="minorHAnsi"/>
          <w:szCs w:val="22"/>
        </w:rPr>
        <w:t xml:space="preserve"> and </w:t>
      </w:r>
      <w:r w:rsidR="00A81EE0">
        <w:rPr>
          <w:rFonts w:cstheme="minorHAnsi"/>
          <w:szCs w:val="22"/>
        </w:rPr>
        <w:t>‘</w:t>
      </w:r>
      <w:r w:rsidR="00A81EE0" w:rsidRPr="006F38F7">
        <w:rPr>
          <w:rFonts w:cstheme="minorHAnsi"/>
          <w:i/>
          <w:iCs/>
          <w:szCs w:val="22"/>
        </w:rPr>
        <w:t>safeguarding</w:t>
      </w:r>
      <w:r w:rsidRPr="006F38F7">
        <w:rPr>
          <w:rFonts w:cstheme="minorHAnsi"/>
          <w:i/>
          <w:iCs/>
          <w:szCs w:val="22"/>
        </w:rPr>
        <w:t xml:space="preserve"> the system</w:t>
      </w:r>
      <w:r w:rsidR="00A81EE0">
        <w:rPr>
          <w:rFonts w:cstheme="minorHAnsi"/>
          <w:szCs w:val="22"/>
        </w:rPr>
        <w:t>’</w:t>
      </w:r>
      <w:r w:rsidRPr="0063383E">
        <w:rPr>
          <w:rFonts w:cstheme="minorHAnsi"/>
          <w:szCs w:val="22"/>
        </w:rPr>
        <w:t xml:space="preserve">. These themes were identified as pivotal to informing </w:t>
      </w:r>
      <w:r>
        <w:rPr>
          <w:rFonts w:cstheme="minorHAnsi"/>
          <w:szCs w:val="22"/>
        </w:rPr>
        <w:t>the Inspector-General’s</w:t>
      </w:r>
      <w:r w:rsidRPr="0063383E">
        <w:rPr>
          <w:rFonts w:cstheme="minorHAnsi"/>
          <w:szCs w:val="22"/>
        </w:rPr>
        <w:t xml:space="preserve"> program of work throughout </w:t>
      </w:r>
      <w:r>
        <w:rPr>
          <w:rFonts w:cstheme="minorHAnsi"/>
          <w:szCs w:val="22"/>
        </w:rPr>
        <w:t>the</w:t>
      </w:r>
      <w:r w:rsidRPr="0063383E">
        <w:rPr>
          <w:rFonts w:cstheme="minorHAnsi"/>
          <w:szCs w:val="22"/>
        </w:rPr>
        <w:t xml:space="preserve"> stakeholder engagement and consultation processes outlined in </w:t>
      </w:r>
      <w:r w:rsidRPr="00341AD1">
        <w:rPr>
          <w:rFonts w:cstheme="minorHAnsi"/>
          <w:b/>
          <w:bCs/>
          <w:szCs w:val="22"/>
        </w:rPr>
        <w:t>section 1.2</w:t>
      </w:r>
      <w:r w:rsidRPr="0063383E">
        <w:rPr>
          <w:rFonts w:cstheme="minorHAnsi"/>
          <w:szCs w:val="22"/>
        </w:rPr>
        <w:t xml:space="preserve"> below.</w:t>
      </w:r>
    </w:p>
    <w:p w14:paraId="43008ACE" w14:textId="77777777" w:rsidR="00AC48D4" w:rsidRPr="0063383E" w:rsidRDefault="00AC48D4" w:rsidP="00AC48D4">
      <w:pPr>
        <w:rPr>
          <w:rFonts w:cstheme="minorHAnsi"/>
          <w:szCs w:val="22"/>
        </w:rPr>
      </w:pPr>
      <w:r w:rsidRPr="0063383E">
        <w:rPr>
          <w:rFonts w:cstheme="minorHAnsi"/>
          <w:szCs w:val="22"/>
        </w:rPr>
        <w:t xml:space="preserve">The Office is committed to ongoing transparency and will publish a variation to the </w:t>
      </w:r>
      <w:r>
        <w:rPr>
          <w:rFonts w:cstheme="minorHAnsi"/>
          <w:szCs w:val="22"/>
        </w:rPr>
        <w:t>w</w:t>
      </w:r>
      <w:r w:rsidRPr="0063383E">
        <w:rPr>
          <w:rFonts w:cstheme="minorHAnsi"/>
          <w:szCs w:val="22"/>
        </w:rPr>
        <w:t xml:space="preserve">ork </w:t>
      </w:r>
      <w:r>
        <w:rPr>
          <w:rFonts w:cstheme="minorHAnsi"/>
          <w:szCs w:val="22"/>
        </w:rPr>
        <w:t>p</w:t>
      </w:r>
      <w:r w:rsidRPr="0063383E">
        <w:rPr>
          <w:rFonts w:cstheme="minorHAnsi"/>
          <w:szCs w:val="22"/>
        </w:rPr>
        <w:t>lan should priorities shift or change through the year as the work progresses.</w:t>
      </w:r>
    </w:p>
    <w:p w14:paraId="0FA0CD66" w14:textId="708070FE" w:rsidR="006541F4" w:rsidRPr="00F8665A" w:rsidRDefault="006541F4" w:rsidP="00DE5032">
      <w:pPr>
        <w:pStyle w:val="Heading3"/>
      </w:pPr>
      <w:bookmarkStart w:id="15" w:name="_Toc206085582"/>
      <w:bookmarkStart w:id="16" w:name="_Toc206703311"/>
      <w:bookmarkStart w:id="17" w:name="_Toc207110564"/>
      <w:r w:rsidRPr="00F8665A">
        <w:t>How did we decide our key focus topics for 2025–2026?</w:t>
      </w:r>
      <w:bookmarkEnd w:id="15"/>
      <w:bookmarkEnd w:id="16"/>
      <w:bookmarkEnd w:id="17"/>
    </w:p>
    <w:p w14:paraId="26F4821F" w14:textId="2092647A" w:rsidR="006541F4" w:rsidRDefault="006541F4" w:rsidP="006541F4">
      <w:pPr>
        <w:spacing w:before="240"/>
        <w:rPr>
          <w:rFonts w:cstheme="minorHAnsi"/>
          <w:szCs w:val="22"/>
        </w:rPr>
      </w:pPr>
      <w:r w:rsidRPr="0063383E">
        <w:rPr>
          <w:rFonts w:cstheme="minorHAnsi"/>
          <w:szCs w:val="22"/>
        </w:rPr>
        <w:t xml:space="preserve">To truly hear the views of people with lived experience and the diversity of stakeholders within the sector </w:t>
      </w:r>
      <w:r>
        <w:rPr>
          <w:rFonts w:cstheme="minorHAnsi"/>
          <w:szCs w:val="22"/>
        </w:rPr>
        <w:t>the Inspector-General and her Office seek</w:t>
      </w:r>
      <w:r w:rsidRPr="0063383E">
        <w:rPr>
          <w:rFonts w:cstheme="minorHAnsi"/>
          <w:szCs w:val="22"/>
        </w:rPr>
        <w:t xml:space="preserve"> to </w:t>
      </w:r>
      <w:r w:rsidR="00CC4DDC">
        <w:rPr>
          <w:rFonts w:cstheme="minorHAnsi"/>
          <w:szCs w:val="22"/>
        </w:rPr>
        <w:t>enact</w:t>
      </w:r>
      <w:r w:rsidR="00CC4DDC" w:rsidRPr="0063383E">
        <w:rPr>
          <w:rFonts w:cstheme="minorHAnsi"/>
          <w:szCs w:val="22"/>
        </w:rPr>
        <w:t xml:space="preserve"> </w:t>
      </w:r>
      <w:proofErr w:type="spellStart"/>
      <w:r w:rsidRPr="0063383E">
        <w:rPr>
          <w:rFonts w:cstheme="minorHAnsi"/>
          <w:i/>
          <w:iCs/>
          <w:szCs w:val="22"/>
        </w:rPr>
        <w:t>Dadirri</w:t>
      </w:r>
      <w:proofErr w:type="spellEnd"/>
      <w:r w:rsidRPr="0063383E">
        <w:rPr>
          <w:rFonts w:cstheme="minorHAnsi"/>
          <w:szCs w:val="22"/>
        </w:rPr>
        <w:t xml:space="preserve">, or deep listening and </w:t>
      </w:r>
      <w:r w:rsidRPr="0063383E">
        <w:rPr>
          <w:rFonts w:cstheme="minorHAnsi"/>
          <w:i/>
          <w:iCs/>
          <w:szCs w:val="22"/>
        </w:rPr>
        <w:t>Garma</w:t>
      </w:r>
      <w:r w:rsidRPr="0063383E">
        <w:rPr>
          <w:rFonts w:cstheme="minorHAnsi"/>
          <w:szCs w:val="22"/>
        </w:rPr>
        <w:t xml:space="preserve">, or two-way learning. </w:t>
      </w:r>
    </w:p>
    <w:p w14:paraId="0D309E5B" w14:textId="542FA5C2" w:rsidR="006541F4" w:rsidRDefault="006541F4" w:rsidP="006541F4">
      <w:pPr>
        <w:rPr>
          <w:rFonts w:cstheme="minorHAnsi"/>
          <w:szCs w:val="22"/>
        </w:rPr>
      </w:pPr>
      <w:r>
        <w:rPr>
          <w:rFonts w:cstheme="minorHAnsi"/>
          <w:szCs w:val="22"/>
        </w:rPr>
        <w:t>In determining the focus topics for the annual work plan, the Inspector-General has sought input from across the aged care sector</w:t>
      </w:r>
      <w:r w:rsidR="00F05F83">
        <w:rPr>
          <w:rFonts w:cstheme="minorHAnsi"/>
          <w:szCs w:val="22"/>
        </w:rPr>
        <w:t xml:space="preserve"> emphasising the</w:t>
      </w:r>
      <w:r>
        <w:rPr>
          <w:rFonts w:cstheme="minorHAnsi"/>
          <w:szCs w:val="22"/>
        </w:rPr>
        <w:t xml:space="preserve"> </w:t>
      </w:r>
      <w:r w:rsidR="00F05F83">
        <w:rPr>
          <w:rFonts w:cstheme="minorHAnsi"/>
          <w:szCs w:val="22"/>
        </w:rPr>
        <w:t xml:space="preserve">voices of </w:t>
      </w:r>
      <w:r>
        <w:rPr>
          <w:rFonts w:cstheme="minorHAnsi"/>
          <w:szCs w:val="22"/>
        </w:rPr>
        <w:t>people with lived experience of the aged care system</w:t>
      </w:r>
      <w:r w:rsidR="0067547B">
        <w:rPr>
          <w:rFonts w:cstheme="minorHAnsi"/>
          <w:szCs w:val="22"/>
        </w:rPr>
        <w:t>, including</w:t>
      </w:r>
      <w:r w:rsidR="00A02A48">
        <w:rPr>
          <w:rFonts w:cstheme="minorHAnsi"/>
          <w:szCs w:val="22"/>
        </w:rPr>
        <w:t xml:space="preserve"> access barriers</w:t>
      </w:r>
      <w:r w:rsidR="0067547B">
        <w:rPr>
          <w:rFonts w:cstheme="minorHAnsi"/>
          <w:szCs w:val="22"/>
        </w:rPr>
        <w:t>.</w:t>
      </w:r>
      <w:r>
        <w:rPr>
          <w:rFonts w:cstheme="minorHAnsi"/>
          <w:szCs w:val="22"/>
        </w:rPr>
        <w:t xml:space="preserve"> </w:t>
      </w:r>
      <w:r w:rsidR="0067547B">
        <w:rPr>
          <w:rFonts w:cstheme="minorHAnsi"/>
          <w:szCs w:val="22"/>
        </w:rPr>
        <w:t xml:space="preserve">The Inspector-General </w:t>
      </w:r>
      <w:r w:rsidR="00490480">
        <w:rPr>
          <w:rFonts w:cstheme="minorHAnsi"/>
          <w:szCs w:val="22"/>
        </w:rPr>
        <w:t xml:space="preserve">also </w:t>
      </w:r>
      <w:r w:rsidR="0067547B">
        <w:rPr>
          <w:rFonts w:cstheme="minorHAnsi"/>
          <w:szCs w:val="22"/>
        </w:rPr>
        <w:t xml:space="preserve">engaged with </w:t>
      </w:r>
      <w:r w:rsidRPr="0063383E">
        <w:rPr>
          <w:rFonts w:cstheme="minorHAnsi"/>
          <w:szCs w:val="22"/>
        </w:rPr>
        <w:t xml:space="preserve">advocacy organisations, government departments and regulators, </w:t>
      </w:r>
      <w:r>
        <w:rPr>
          <w:rFonts w:cstheme="minorHAnsi"/>
          <w:szCs w:val="22"/>
        </w:rPr>
        <w:t xml:space="preserve">aged care </w:t>
      </w:r>
      <w:r w:rsidRPr="0063383E">
        <w:rPr>
          <w:rFonts w:cstheme="minorHAnsi"/>
          <w:szCs w:val="22"/>
        </w:rPr>
        <w:t>providers, peak bodies</w:t>
      </w:r>
      <w:r>
        <w:rPr>
          <w:rFonts w:cstheme="minorHAnsi"/>
          <w:szCs w:val="22"/>
        </w:rPr>
        <w:t xml:space="preserve">, advisory bodies and the aged care workforce. </w:t>
      </w:r>
    </w:p>
    <w:p w14:paraId="1D37BA4A" w14:textId="21BD4E0D" w:rsidR="006541F4" w:rsidRPr="006F38F7" w:rsidRDefault="006541F4" w:rsidP="006541F4">
      <w:pPr>
        <w:rPr>
          <w:rFonts w:cstheme="minorHAnsi"/>
          <w:b/>
          <w:bCs/>
          <w:szCs w:val="22"/>
        </w:rPr>
      </w:pPr>
      <w:r>
        <w:rPr>
          <w:rFonts w:cstheme="minorHAnsi"/>
          <w:szCs w:val="22"/>
        </w:rPr>
        <w:t>The choice of topics has been informed by extensive feedback received by the Office since its establishment in 2023, as well as</w:t>
      </w:r>
      <w:r w:rsidR="00A02A48">
        <w:rPr>
          <w:rFonts w:cstheme="minorHAnsi"/>
          <w:szCs w:val="22"/>
        </w:rPr>
        <w:t xml:space="preserve"> a distillation of the issues raised</w:t>
      </w:r>
      <w:r>
        <w:rPr>
          <w:rFonts w:cstheme="minorHAnsi"/>
          <w:szCs w:val="22"/>
        </w:rPr>
        <w:t xml:space="preserve"> through a series of stakeholder forums that were held to inform the development of the </w:t>
      </w:r>
      <w:r w:rsidRPr="00F66580">
        <w:rPr>
          <w:rFonts w:cstheme="minorHAnsi"/>
          <w:i/>
          <w:szCs w:val="22"/>
        </w:rPr>
        <w:t xml:space="preserve">2025 Progress Report on the Implementation of </w:t>
      </w:r>
      <w:r w:rsidRPr="0091557C">
        <w:rPr>
          <w:rFonts w:cstheme="minorHAnsi"/>
          <w:i/>
          <w:szCs w:val="22"/>
        </w:rPr>
        <w:t xml:space="preserve">the </w:t>
      </w:r>
      <w:r w:rsidRPr="00F66580">
        <w:rPr>
          <w:rFonts w:cstheme="minorHAnsi"/>
          <w:i/>
          <w:szCs w:val="22"/>
        </w:rPr>
        <w:t>Recommendations</w:t>
      </w:r>
      <w:r w:rsidRPr="0091557C">
        <w:rPr>
          <w:rFonts w:cstheme="minorHAnsi"/>
          <w:i/>
          <w:szCs w:val="22"/>
        </w:rPr>
        <w:t xml:space="preserve"> of the Royal Commission into Aged Care Quality and Safety</w:t>
      </w:r>
      <w:r>
        <w:rPr>
          <w:rFonts w:cstheme="minorHAnsi"/>
          <w:szCs w:val="22"/>
        </w:rPr>
        <w:t>. Throughout this process,</w:t>
      </w:r>
      <w:r w:rsidRPr="0063383E">
        <w:rPr>
          <w:rFonts w:cstheme="minorHAnsi"/>
          <w:szCs w:val="22"/>
        </w:rPr>
        <w:t xml:space="preserve"> the </w:t>
      </w:r>
      <w:r>
        <w:rPr>
          <w:rFonts w:cstheme="minorHAnsi"/>
          <w:szCs w:val="22"/>
        </w:rPr>
        <w:t>Inspector-General sought to gain</w:t>
      </w:r>
      <w:r w:rsidRPr="0063383E">
        <w:rPr>
          <w:rFonts w:cstheme="minorHAnsi"/>
          <w:szCs w:val="22"/>
        </w:rPr>
        <w:t xml:space="preserve"> a </w:t>
      </w:r>
      <w:r>
        <w:rPr>
          <w:rFonts w:cstheme="minorHAnsi"/>
          <w:szCs w:val="22"/>
        </w:rPr>
        <w:t>deeper understanding of the following</w:t>
      </w:r>
      <w:r w:rsidRPr="0063383E">
        <w:rPr>
          <w:rFonts w:cstheme="minorHAnsi"/>
          <w:szCs w:val="22"/>
        </w:rPr>
        <w:t xml:space="preserve"> question: </w:t>
      </w:r>
      <w:r w:rsidR="00AB560D">
        <w:rPr>
          <w:rFonts w:cstheme="minorHAnsi"/>
          <w:szCs w:val="22"/>
        </w:rPr>
        <w:t>“</w:t>
      </w:r>
      <w:r w:rsidRPr="006F38F7">
        <w:rPr>
          <w:rFonts w:cstheme="minorHAnsi"/>
          <w:b/>
          <w:bCs/>
          <w:szCs w:val="22"/>
        </w:rPr>
        <w:t xml:space="preserve">if the aged care system is not yet realising the vision of delivering human rights and high-quality care codified by the new </w:t>
      </w:r>
      <w:r w:rsidRPr="006F38F7">
        <w:rPr>
          <w:rFonts w:cstheme="minorHAnsi"/>
          <w:b/>
          <w:bCs/>
          <w:i/>
          <w:iCs/>
          <w:szCs w:val="22"/>
        </w:rPr>
        <w:t xml:space="preserve">Aged Care Act </w:t>
      </w:r>
      <w:r w:rsidRPr="006F38F7">
        <w:rPr>
          <w:rFonts w:cstheme="minorHAnsi"/>
          <w:b/>
          <w:bCs/>
          <w:i/>
          <w:szCs w:val="22"/>
        </w:rPr>
        <w:t>2024</w:t>
      </w:r>
      <w:r w:rsidRPr="006F38F7">
        <w:rPr>
          <w:rFonts w:cstheme="minorHAnsi"/>
          <w:b/>
          <w:bCs/>
          <w:i/>
          <w:iCs/>
          <w:szCs w:val="22"/>
        </w:rPr>
        <w:t xml:space="preserve"> </w:t>
      </w:r>
      <w:r w:rsidRPr="006F38F7">
        <w:rPr>
          <w:rFonts w:cstheme="minorHAnsi"/>
          <w:b/>
          <w:bCs/>
          <w:szCs w:val="22"/>
        </w:rPr>
        <w:t>(the new Act), then what would</w:t>
      </w:r>
      <w:r w:rsidRPr="006F38F7">
        <w:rPr>
          <w:rFonts w:cstheme="minorHAnsi"/>
          <w:b/>
          <w:bCs/>
          <w:i/>
          <w:iCs/>
          <w:szCs w:val="22"/>
        </w:rPr>
        <w:t xml:space="preserve"> </w:t>
      </w:r>
      <w:r w:rsidRPr="006F38F7">
        <w:rPr>
          <w:rFonts w:cstheme="minorHAnsi"/>
          <w:b/>
          <w:bCs/>
          <w:szCs w:val="22"/>
        </w:rPr>
        <w:t>bring about the most impactful changes to achieve the transformation to which the government, sector and community all aspire?</w:t>
      </w:r>
      <w:r w:rsidR="00AB560D">
        <w:rPr>
          <w:rFonts w:cstheme="minorHAnsi"/>
          <w:b/>
          <w:bCs/>
          <w:szCs w:val="22"/>
        </w:rPr>
        <w:t>”</w:t>
      </w:r>
    </w:p>
    <w:p w14:paraId="7DF26951" w14:textId="77777777" w:rsidR="006541F4" w:rsidRPr="0063383E" w:rsidRDefault="006541F4" w:rsidP="006541F4">
      <w:pPr>
        <w:rPr>
          <w:rFonts w:cstheme="minorHAnsi"/>
          <w:szCs w:val="22"/>
        </w:rPr>
      </w:pPr>
      <w:r>
        <w:rPr>
          <w:rFonts w:cstheme="minorHAnsi"/>
          <w:szCs w:val="22"/>
        </w:rPr>
        <w:lastRenderedPageBreak/>
        <w:t>It was identified that, t</w:t>
      </w:r>
      <w:r w:rsidRPr="0063383E">
        <w:rPr>
          <w:rFonts w:cstheme="minorHAnsi"/>
          <w:szCs w:val="22"/>
        </w:rPr>
        <w:t xml:space="preserve">he answers to this question </w:t>
      </w:r>
      <w:r>
        <w:rPr>
          <w:rFonts w:cstheme="minorHAnsi"/>
          <w:szCs w:val="22"/>
        </w:rPr>
        <w:t>clearly</w:t>
      </w:r>
      <w:r w:rsidRPr="0063383E">
        <w:rPr>
          <w:rFonts w:cstheme="minorHAnsi"/>
          <w:szCs w:val="22"/>
        </w:rPr>
        <w:t xml:space="preserve"> </w:t>
      </w:r>
      <w:r>
        <w:rPr>
          <w:rFonts w:cstheme="minorHAnsi"/>
          <w:szCs w:val="22"/>
        </w:rPr>
        <w:t>reflected</w:t>
      </w:r>
      <w:r w:rsidRPr="0063383E">
        <w:rPr>
          <w:rFonts w:cstheme="minorHAnsi"/>
          <w:szCs w:val="22"/>
        </w:rPr>
        <w:t xml:space="preserve"> </w:t>
      </w:r>
      <w:r>
        <w:rPr>
          <w:rFonts w:cstheme="minorHAnsi"/>
          <w:szCs w:val="22"/>
        </w:rPr>
        <w:t>the Office’s</w:t>
      </w:r>
      <w:r w:rsidRPr="0063383E">
        <w:rPr>
          <w:rFonts w:cstheme="minorHAnsi"/>
          <w:szCs w:val="22"/>
        </w:rPr>
        <w:t xml:space="preserve"> explicit </w:t>
      </w:r>
      <w:r>
        <w:rPr>
          <w:rFonts w:cstheme="minorHAnsi"/>
          <w:szCs w:val="22"/>
        </w:rPr>
        <w:t>mandate</w:t>
      </w:r>
      <w:r w:rsidRPr="0063383E">
        <w:rPr>
          <w:rFonts w:cstheme="minorHAnsi"/>
          <w:szCs w:val="22"/>
        </w:rPr>
        <w:t xml:space="preserve"> to focus </w:t>
      </w:r>
      <w:r>
        <w:rPr>
          <w:rFonts w:cstheme="minorHAnsi"/>
          <w:szCs w:val="22"/>
        </w:rPr>
        <w:t>its</w:t>
      </w:r>
      <w:r w:rsidRPr="0063383E">
        <w:rPr>
          <w:rFonts w:cstheme="minorHAnsi"/>
          <w:szCs w:val="22"/>
        </w:rPr>
        <w:t xml:space="preserve"> work on the ‘</w:t>
      </w:r>
      <w:r w:rsidRPr="0063383E">
        <w:rPr>
          <w:rFonts w:cstheme="minorHAnsi"/>
          <w:i/>
          <w:iCs/>
          <w:szCs w:val="22"/>
        </w:rPr>
        <w:t>systemic problems and opportunities that lead to the greatest change in aged care</w:t>
      </w:r>
      <w:r w:rsidRPr="0063383E">
        <w:rPr>
          <w:rFonts w:cstheme="minorHAnsi"/>
          <w:szCs w:val="22"/>
        </w:rPr>
        <w:t>’.</w:t>
      </w:r>
    </w:p>
    <w:p w14:paraId="57BF50B8" w14:textId="1ABF95DA" w:rsidR="006541F4" w:rsidRDefault="006541F4" w:rsidP="006541F4">
      <w:pPr>
        <w:rPr>
          <w:rFonts w:cstheme="minorHAnsi"/>
          <w:szCs w:val="22"/>
        </w:rPr>
      </w:pPr>
      <w:r>
        <w:rPr>
          <w:rFonts w:cstheme="minorHAnsi"/>
          <w:szCs w:val="22"/>
        </w:rPr>
        <w:t>From this position, more than 20 potential focus topics and several key overarching themes emerged</w:t>
      </w:r>
      <w:r w:rsidR="0076125D">
        <w:rPr>
          <w:rFonts w:cstheme="minorHAnsi"/>
          <w:szCs w:val="22"/>
        </w:rPr>
        <w:t xml:space="preserve">. </w:t>
      </w:r>
      <w:r>
        <w:rPr>
          <w:rFonts w:cstheme="minorHAnsi"/>
          <w:szCs w:val="22"/>
        </w:rPr>
        <w:t xml:space="preserve">Further work was then undertaken within the Office to </w:t>
      </w:r>
      <w:r w:rsidR="0076125D">
        <w:rPr>
          <w:rFonts w:cstheme="minorHAnsi"/>
          <w:szCs w:val="22"/>
        </w:rPr>
        <w:t>conce</w:t>
      </w:r>
      <w:r w:rsidR="006F38F7">
        <w:rPr>
          <w:rFonts w:cstheme="minorHAnsi"/>
          <w:szCs w:val="22"/>
        </w:rPr>
        <w:t>n</w:t>
      </w:r>
      <w:r w:rsidR="0076125D">
        <w:rPr>
          <w:rFonts w:cstheme="minorHAnsi"/>
          <w:szCs w:val="22"/>
        </w:rPr>
        <w:t xml:space="preserve">trate </w:t>
      </w:r>
      <w:r>
        <w:rPr>
          <w:rFonts w:cstheme="minorHAnsi"/>
          <w:szCs w:val="22"/>
        </w:rPr>
        <w:t xml:space="preserve">these </w:t>
      </w:r>
      <w:r w:rsidR="0076125D">
        <w:rPr>
          <w:rFonts w:cstheme="minorHAnsi"/>
          <w:szCs w:val="22"/>
        </w:rPr>
        <w:t>into</w:t>
      </w:r>
      <w:r>
        <w:rPr>
          <w:rFonts w:cstheme="minorHAnsi"/>
          <w:szCs w:val="22"/>
        </w:rPr>
        <w:t xml:space="preserve"> ten potential topics grouped under three main themes for further targeted consultation. This process included consideration of the following:</w:t>
      </w:r>
    </w:p>
    <w:p w14:paraId="61888C44" w14:textId="77777777" w:rsidR="006541F4" w:rsidRPr="00973A12" w:rsidRDefault="006541F4" w:rsidP="00973A12">
      <w:pPr>
        <w:pStyle w:val="ListParagraph"/>
        <w:tabs>
          <w:tab w:val="clear" w:pos="567"/>
        </w:tabs>
        <w:ind w:left="284"/>
      </w:pPr>
      <w:r w:rsidRPr="00973A12">
        <w:t>issues and concerns raised by stakeholders through consultation and feedback processes outlined above</w:t>
      </w:r>
    </w:p>
    <w:p w14:paraId="4E79FC59" w14:textId="038378B5" w:rsidR="006541F4" w:rsidRPr="00973A12" w:rsidRDefault="00E730EB" w:rsidP="00973A12">
      <w:pPr>
        <w:pStyle w:val="ListParagraph"/>
        <w:tabs>
          <w:tab w:val="clear" w:pos="567"/>
        </w:tabs>
        <w:ind w:left="284"/>
      </w:pPr>
      <w:r>
        <w:t>extensive</w:t>
      </w:r>
      <w:r w:rsidRPr="00973A12">
        <w:t xml:space="preserve"> </w:t>
      </w:r>
      <w:r w:rsidR="006541F4" w:rsidRPr="00973A12">
        <w:t xml:space="preserve">work already being undertaken by other organisations and government agencies </w:t>
      </w:r>
      <w:r>
        <w:t>where the value the Office could contribute may be more limited</w:t>
      </w:r>
    </w:p>
    <w:p w14:paraId="38D2AE89" w14:textId="42F6E08A" w:rsidR="006541F4" w:rsidRPr="00973A12" w:rsidRDefault="006541F4" w:rsidP="00973A12">
      <w:pPr>
        <w:pStyle w:val="ListParagraph"/>
        <w:tabs>
          <w:tab w:val="clear" w:pos="567"/>
        </w:tabs>
        <w:ind w:left="284"/>
      </w:pPr>
      <w:r w:rsidRPr="00973A12">
        <w:t>availability of relevant data</w:t>
      </w:r>
      <w:r w:rsidR="00E730EB">
        <w:t xml:space="preserve"> in 2025</w:t>
      </w:r>
      <w:r w:rsidR="00456AE8">
        <w:t>–</w:t>
      </w:r>
      <w:r w:rsidR="00E730EB">
        <w:t>26 to deliver definitive conclusions and effective recommendations</w:t>
      </w:r>
    </w:p>
    <w:p w14:paraId="057E8D33" w14:textId="77777777" w:rsidR="006541F4" w:rsidRPr="00973A12" w:rsidRDefault="006541F4" w:rsidP="00973A12">
      <w:pPr>
        <w:pStyle w:val="ListParagraph"/>
        <w:tabs>
          <w:tab w:val="clear" w:pos="567"/>
        </w:tabs>
        <w:ind w:left="284"/>
      </w:pPr>
      <w:r w:rsidRPr="00973A12">
        <w:t>resources available within the Office to undertake the work, and</w:t>
      </w:r>
    </w:p>
    <w:p w14:paraId="62FB7F51" w14:textId="77777777" w:rsidR="006541F4" w:rsidRPr="00973A12" w:rsidRDefault="006541F4" w:rsidP="00973A12">
      <w:pPr>
        <w:pStyle w:val="ListParagraph"/>
        <w:tabs>
          <w:tab w:val="clear" w:pos="567"/>
        </w:tabs>
        <w:ind w:left="284"/>
      </w:pPr>
      <w:r w:rsidRPr="00973A12">
        <w:t>the views of the Inspector-General in relation to those areas where the Office can best support true and effective transformational change.</w:t>
      </w:r>
    </w:p>
    <w:p w14:paraId="3847BB11" w14:textId="08C05498" w:rsidR="007B5E9C" w:rsidRDefault="007B5E9C" w:rsidP="007B5E9C">
      <w:pPr>
        <w:rPr>
          <w:rFonts w:cstheme="minorHAnsi"/>
          <w:szCs w:val="22"/>
        </w:rPr>
      </w:pPr>
      <w:r>
        <w:rPr>
          <w:rFonts w:cstheme="minorHAnsi"/>
          <w:szCs w:val="22"/>
        </w:rPr>
        <w:t>A second internal process was then undertaken within the Office to identify the top five issues for progression in 2025–26 (from a staff perspective). The top 10 potential topics were also</w:t>
      </w:r>
      <w:r w:rsidRPr="0063383E">
        <w:rPr>
          <w:rFonts w:cstheme="minorHAnsi"/>
          <w:szCs w:val="22"/>
        </w:rPr>
        <w:t xml:space="preserve"> presented</w:t>
      </w:r>
      <w:r>
        <w:rPr>
          <w:rFonts w:cstheme="minorHAnsi"/>
          <w:szCs w:val="22"/>
        </w:rPr>
        <w:t xml:space="preserve"> separately</w:t>
      </w:r>
      <w:r w:rsidRPr="0063383E">
        <w:rPr>
          <w:rFonts w:cstheme="minorHAnsi"/>
          <w:szCs w:val="22"/>
        </w:rPr>
        <w:t xml:space="preserve"> to a targeted group of stakeholders</w:t>
      </w:r>
      <w:r>
        <w:rPr>
          <w:rFonts w:cstheme="minorHAnsi"/>
          <w:szCs w:val="22"/>
        </w:rPr>
        <w:t>,</w:t>
      </w:r>
      <w:r w:rsidRPr="0063383E">
        <w:rPr>
          <w:rFonts w:cstheme="minorHAnsi"/>
          <w:szCs w:val="22"/>
        </w:rPr>
        <w:t xml:space="preserve"> </w:t>
      </w:r>
      <w:r>
        <w:rPr>
          <w:rFonts w:cstheme="minorHAnsi"/>
          <w:szCs w:val="22"/>
        </w:rPr>
        <w:t xml:space="preserve">through a series of additional consultations, </w:t>
      </w:r>
      <w:r w:rsidRPr="0063383E">
        <w:rPr>
          <w:rFonts w:cstheme="minorHAnsi"/>
          <w:szCs w:val="22"/>
        </w:rPr>
        <w:t xml:space="preserve">to </w:t>
      </w:r>
      <w:r>
        <w:rPr>
          <w:rFonts w:cstheme="minorHAnsi"/>
          <w:szCs w:val="22"/>
        </w:rPr>
        <w:t>seek</w:t>
      </w:r>
      <w:r w:rsidRPr="0063383E">
        <w:rPr>
          <w:rFonts w:cstheme="minorHAnsi"/>
          <w:szCs w:val="22"/>
        </w:rPr>
        <w:t xml:space="preserve"> their views and ensure that the Office </w:t>
      </w:r>
      <w:r>
        <w:rPr>
          <w:rFonts w:cstheme="minorHAnsi"/>
          <w:szCs w:val="22"/>
        </w:rPr>
        <w:t>had determined</w:t>
      </w:r>
      <w:r w:rsidRPr="0063383E">
        <w:rPr>
          <w:rFonts w:cstheme="minorHAnsi"/>
          <w:szCs w:val="22"/>
        </w:rPr>
        <w:t xml:space="preserve"> the most critical issues</w:t>
      </w:r>
      <w:r>
        <w:rPr>
          <w:rFonts w:cstheme="minorHAnsi"/>
          <w:szCs w:val="22"/>
        </w:rPr>
        <w:t xml:space="preserve"> for further investigation</w:t>
      </w:r>
      <w:r w:rsidRPr="0063383E">
        <w:rPr>
          <w:rFonts w:cstheme="minorHAnsi"/>
          <w:szCs w:val="22"/>
        </w:rPr>
        <w:t>.</w:t>
      </w:r>
    </w:p>
    <w:p w14:paraId="32E059BD" w14:textId="1A0A4D1F" w:rsidR="007B5E9C" w:rsidRDefault="007B5E9C" w:rsidP="007B5E9C">
      <w:pPr>
        <w:rPr>
          <w:rFonts w:cstheme="minorHAnsi"/>
          <w:szCs w:val="22"/>
        </w:rPr>
      </w:pPr>
      <w:r>
        <w:rPr>
          <w:rFonts w:cstheme="minorHAnsi"/>
          <w:szCs w:val="22"/>
        </w:rPr>
        <w:t xml:space="preserve">As indicated in Figure 2 </w:t>
      </w:r>
      <w:r w:rsidR="00430584">
        <w:rPr>
          <w:rFonts w:cstheme="minorHAnsi"/>
          <w:szCs w:val="22"/>
        </w:rPr>
        <w:t>below</w:t>
      </w:r>
      <w:r>
        <w:rPr>
          <w:rFonts w:cstheme="minorHAnsi"/>
          <w:szCs w:val="22"/>
        </w:rPr>
        <w:t>,</w:t>
      </w:r>
      <w:r w:rsidRPr="0063383E">
        <w:rPr>
          <w:rFonts w:cstheme="minorHAnsi"/>
          <w:szCs w:val="22"/>
        </w:rPr>
        <w:t xml:space="preserve"> the </w:t>
      </w:r>
      <w:r>
        <w:rPr>
          <w:rFonts w:cstheme="minorHAnsi"/>
          <w:szCs w:val="22"/>
        </w:rPr>
        <w:t>topics</w:t>
      </w:r>
      <w:r w:rsidRPr="0063383E">
        <w:rPr>
          <w:rFonts w:cstheme="minorHAnsi"/>
          <w:szCs w:val="22"/>
        </w:rPr>
        <w:t xml:space="preserve"> in</w:t>
      </w:r>
      <w:r>
        <w:rPr>
          <w:rFonts w:cstheme="minorHAnsi"/>
          <w:szCs w:val="22"/>
        </w:rPr>
        <w:t xml:space="preserve"> the</w:t>
      </w:r>
      <w:r w:rsidR="00B468B2">
        <w:rPr>
          <w:rFonts w:cstheme="minorHAnsi"/>
          <w:color w:val="CF58C0" w:themeColor="accent4" w:themeTint="99"/>
          <w:szCs w:val="22"/>
        </w:rPr>
        <w:t xml:space="preserve"> </w:t>
      </w:r>
      <w:r w:rsidRPr="006F38F7">
        <w:rPr>
          <w:rFonts w:cstheme="minorHAnsi"/>
          <w:b/>
          <w:bCs/>
          <w:szCs w:val="22"/>
          <w:highlight w:val="magenta"/>
          <w:bdr w:val="single" w:sz="4" w:space="0" w:color="auto"/>
        </w:rPr>
        <w:t>pink</w:t>
      </w:r>
      <w:r w:rsidRPr="0063383E">
        <w:rPr>
          <w:rFonts w:cstheme="minorHAnsi"/>
          <w:szCs w:val="22"/>
        </w:rPr>
        <w:t xml:space="preserve"> </w:t>
      </w:r>
      <w:r w:rsidR="0067547B">
        <w:rPr>
          <w:rFonts w:cstheme="minorHAnsi"/>
          <w:szCs w:val="22"/>
        </w:rPr>
        <w:t xml:space="preserve">boxes </w:t>
      </w:r>
      <w:r w:rsidRPr="0063383E">
        <w:rPr>
          <w:rFonts w:cstheme="minorHAnsi"/>
          <w:szCs w:val="22"/>
        </w:rPr>
        <w:t xml:space="preserve">reflect those that were regarded by both </w:t>
      </w:r>
      <w:r>
        <w:rPr>
          <w:rFonts w:cstheme="minorHAnsi"/>
          <w:szCs w:val="22"/>
        </w:rPr>
        <w:t>the Office</w:t>
      </w:r>
      <w:r w:rsidRPr="0063383E">
        <w:rPr>
          <w:rFonts w:cstheme="minorHAnsi"/>
          <w:szCs w:val="22"/>
        </w:rPr>
        <w:t xml:space="preserve"> and stakeholders as the </w:t>
      </w:r>
      <w:r>
        <w:rPr>
          <w:rFonts w:cstheme="minorHAnsi"/>
          <w:szCs w:val="22"/>
        </w:rPr>
        <w:t>five</w:t>
      </w:r>
      <w:r w:rsidRPr="0063383E">
        <w:rPr>
          <w:rFonts w:cstheme="minorHAnsi"/>
          <w:szCs w:val="22"/>
        </w:rPr>
        <w:t xml:space="preserve"> most </w:t>
      </w:r>
      <w:r>
        <w:rPr>
          <w:rFonts w:cstheme="minorHAnsi"/>
          <w:szCs w:val="22"/>
        </w:rPr>
        <w:t>impactful for driving change in</w:t>
      </w:r>
      <w:r w:rsidRPr="0063383E">
        <w:rPr>
          <w:rFonts w:cstheme="minorHAnsi"/>
          <w:szCs w:val="22"/>
        </w:rPr>
        <w:t xml:space="preserve"> the </w:t>
      </w:r>
      <w:r>
        <w:rPr>
          <w:rFonts w:cstheme="minorHAnsi"/>
          <w:szCs w:val="22"/>
        </w:rPr>
        <w:t>aged care system in the current environment</w:t>
      </w:r>
      <w:r w:rsidRPr="0063383E">
        <w:rPr>
          <w:rFonts w:cstheme="minorHAnsi"/>
          <w:szCs w:val="22"/>
        </w:rPr>
        <w:t>.</w:t>
      </w:r>
      <w:r>
        <w:rPr>
          <w:rFonts w:cstheme="minorHAnsi"/>
          <w:szCs w:val="22"/>
        </w:rPr>
        <w:t xml:space="preserve"> These topics are outlined in more detail in </w:t>
      </w:r>
      <w:r w:rsidRPr="00341AD1">
        <w:rPr>
          <w:rFonts w:cstheme="minorHAnsi"/>
          <w:b/>
          <w:bCs/>
          <w:szCs w:val="22"/>
        </w:rPr>
        <w:t>section 2</w:t>
      </w:r>
      <w:r>
        <w:rPr>
          <w:rFonts w:cstheme="minorHAnsi"/>
          <w:szCs w:val="22"/>
        </w:rPr>
        <w:t xml:space="preserve"> of the work plan.</w:t>
      </w:r>
    </w:p>
    <w:p w14:paraId="3B82B647" w14:textId="7D51BBCB" w:rsidR="00430584" w:rsidRDefault="007B5E9C" w:rsidP="007B5E9C">
      <w:pPr>
        <w:rPr>
          <w:rFonts w:cstheme="minorHAnsi"/>
          <w:szCs w:val="22"/>
        </w:rPr>
      </w:pPr>
      <w:r>
        <w:rPr>
          <w:rFonts w:cstheme="minorHAnsi"/>
          <w:szCs w:val="22"/>
        </w:rPr>
        <w:t xml:space="preserve">Of the remaining five issues identified, several will be progressed through the Office’s monitoring function (see section 4 of this work plan) or have been earmarked for future consideration in </w:t>
      </w:r>
      <w:r w:rsidRPr="00341AD1">
        <w:rPr>
          <w:rFonts w:cstheme="minorHAnsi"/>
          <w:b/>
          <w:bCs/>
          <w:szCs w:val="22"/>
        </w:rPr>
        <w:t>section 5</w:t>
      </w:r>
      <w:r w:rsidR="00490480" w:rsidRPr="00341AD1">
        <w:rPr>
          <w:rFonts w:cstheme="minorHAnsi"/>
          <w:szCs w:val="22"/>
        </w:rPr>
        <w:t>.</w:t>
      </w:r>
    </w:p>
    <w:p w14:paraId="578097CE" w14:textId="0239B58B" w:rsidR="00430584" w:rsidRDefault="00430584" w:rsidP="00430584">
      <w:pPr>
        <w:pStyle w:val="Heading4"/>
      </w:pPr>
      <w:r>
        <w:lastRenderedPageBreak/>
        <w:t xml:space="preserve">The </w:t>
      </w:r>
      <w:r w:rsidR="00456AE8">
        <w:t xml:space="preserve">five </w:t>
      </w:r>
      <w:r>
        <w:t>chosen focus projects for 2025</w:t>
      </w:r>
      <w:r w:rsidR="00456AE8">
        <w:t>–</w:t>
      </w:r>
      <w:r>
        <w:t xml:space="preserve">26, distilled from the </w:t>
      </w:r>
      <w:r w:rsidR="00456AE8">
        <w:t xml:space="preserve">ten </w:t>
      </w:r>
      <w:r>
        <w:t>topics identified for further targeted consultation are shaded in pink, in the figure below:</w:t>
      </w:r>
    </w:p>
    <w:p w14:paraId="7B4C8FDA" w14:textId="77777777" w:rsidR="00430584" w:rsidRDefault="00430584" w:rsidP="00430584">
      <w:pPr>
        <w:keepNext/>
      </w:pPr>
      <w:r>
        <w:br/>
      </w:r>
      <w:r w:rsidRPr="00D93951">
        <w:rPr>
          <w:rFonts w:cstheme="minorHAnsi"/>
          <w:noProof/>
        </w:rPr>
        <w:drawing>
          <wp:anchor distT="0" distB="0" distL="114300" distR="114300" simplePos="0" relativeHeight="251676672" behindDoc="0" locked="0" layoutInCell="1" allowOverlap="1" wp14:anchorId="4507205B" wp14:editId="3D712B82">
            <wp:simplePos x="0" y="0"/>
            <wp:positionH relativeFrom="page">
              <wp:align>center</wp:align>
            </wp:positionH>
            <wp:positionV relativeFrom="paragraph">
              <wp:posOffset>191135</wp:posOffset>
            </wp:positionV>
            <wp:extent cx="6105600" cy="4082400"/>
            <wp:effectExtent l="0" t="0" r="0" b="13970"/>
            <wp:wrapTopAndBottom/>
            <wp:docPr id="2145761268" name="Diagram 1" descr="Diagram showing the topics identified for further targeted consultation">
              <a:extLst xmlns:a="http://schemas.openxmlformats.org/drawingml/2006/main">
                <a:ext uri="{FF2B5EF4-FFF2-40B4-BE49-F238E27FC236}">
                  <a16:creationId xmlns:a16="http://schemas.microsoft.com/office/drawing/2014/main" id="{3EB45695-AAA3-A0BD-84E6-5C3E6CB8417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43378C1E" w14:textId="3D0290F0" w:rsidR="00430584" w:rsidRPr="0063383E" w:rsidRDefault="00430584" w:rsidP="00430584">
      <w:pPr>
        <w:pStyle w:val="Caption"/>
      </w:pPr>
      <w:r>
        <w:t xml:space="preserve">Figure </w:t>
      </w:r>
      <w:r>
        <w:fldChar w:fldCharType="begin"/>
      </w:r>
      <w:r>
        <w:instrText xml:space="preserve"> SEQ Figure \* ARABIC </w:instrText>
      </w:r>
      <w:r>
        <w:fldChar w:fldCharType="separate"/>
      </w:r>
      <w:r w:rsidR="00A37BC5">
        <w:rPr>
          <w:noProof/>
        </w:rPr>
        <w:t>2</w:t>
      </w:r>
      <w:r>
        <w:fldChar w:fldCharType="end"/>
      </w:r>
      <w:r>
        <w:t>:</w:t>
      </w:r>
      <w:r w:rsidRPr="0085246F">
        <w:t xml:space="preserve"> </w:t>
      </w:r>
      <w:r>
        <w:t>Five chosen focus areas distilled from the t</w:t>
      </w:r>
      <w:r w:rsidRPr="0085246F">
        <w:t>op ten focus topics identified for consideration in the 2025–26 Annual Work Plan</w:t>
      </w:r>
      <w:r>
        <w:t xml:space="preserve">. </w:t>
      </w:r>
    </w:p>
    <w:p w14:paraId="00891A46" w14:textId="26C19592" w:rsidR="00430584" w:rsidRDefault="00430584" w:rsidP="007B5E9C">
      <w:pPr>
        <w:rPr>
          <w:rFonts w:cstheme="minorHAnsi"/>
          <w:szCs w:val="22"/>
        </w:rPr>
        <w:sectPr w:rsidR="00430584" w:rsidSect="00485DE2">
          <w:headerReference w:type="first" r:id="rId27"/>
          <w:pgSz w:w="11900" w:h="16840" w:code="9"/>
          <w:pgMar w:top="1440" w:right="1440" w:bottom="1440" w:left="1440" w:header="709" w:footer="510" w:gutter="0"/>
          <w:cols w:space="708"/>
          <w:titlePg/>
          <w:docGrid w:linePitch="360"/>
        </w:sectPr>
      </w:pPr>
    </w:p>
    <w:p w14:paraId="3799DEEF" w14:textId="6EF30E0E" w:rsidR="00C42F0E" w:rsidRPr="005D434A" w:rsidRDefault="00C42F0E" w:rsidP="005D434A">
      <w:pPr>
        <w:pStyle w:val="Heading2"/>
      </w:pPr>
      <w:bookmarkStart w:id="18" w:name="_Toc206085583"/>
      <w:bookmarkStart w:id="19" w:name="_Toc206703312"/>
      <w:bookmarkStart w:id="20" w:name="_Toc206750418"/>
      <w:bookmarkStart w:id="21" w:name="_Toc207110565"/>
      <w:r w:rsidRPr="005D434A">
        <w:lastRenderedPageBreak/>
        <w:t>Reviews</w:t>
      </w:r>
      <w:bookmarkEnd w:id="18"/>
      <w:bookmarkEnd w:id="19"/>
      <w:bookmarkEnd w:id="20"/>
      <w:bookmarkEnd w:id="21"/>
    </w:p>
    <w:p w14:paraId="250A414E" w14:textId="319FA0C3" w:rsidR="00C42F0E" w:rsidRPr="001F2970" w:rsidRDefault="00C42F0E" w:rsidP="00C42F0E">
      <w:pPr>
        <w:spacing w:before="240"/>
      </w:pPr>
      <w:r w:rsidRPr="0086550B">
        <w:rPr>
          <w:rFonts w:ascii="Calibri" w:eastAsia="Aptos" w:hAnsi="Calibri" w:cs="Calibri"/>
          <w:szCs w:val="22"/>
          <w14:ligatures w14:val="standardContextual"/>
        </w:rPr>
        <w:t>The</w:t>
      </w:r>
      <w:r w:rsidRPr="0086550B" w:rsidDel="00736CE7">
        <w:rPr>
          <w:rFonts w:ascii="Calibri" w:eastAsia="Aptos" w:hAnsi="Calibri" w:cs="Calibri"/>
          <w:szCs w:val="22"/>
          <w14:ligatures w14:val="standardContextual"/>
        </w:rPr>
        <w:t xml:space="preserve"> </w:t>
      </w:r>
      <w:r>
        <w:rPr>
          <w:rFonts w:ascii="Calibri" w:eastAsia="Aptos" w:hAnsi="Calibri" w:cs="Calibri"/>
          <w:szCs w:val="22"/>
          <w14:ligatures w14:val="standardContextual"/>
        </w:rPr>
        <w:t xml:space="preserve">IGAC Act </w:t>
      </w:r>
      <w:r w:rsidRPr="0086550B">
        <w:rPr>
          <w:rFonts w:ascii="Calibri" w:eastAsia="Aptos" w:hAnsi="Calibri" w:cs="Calibri"/>
          <w:szCs w:val="22"/>
          <w14:ligatures w14:val="standardContextual"/>
        </w:rPr>
        <w:t xml:space="preserve">empowers the Inspector-General to conduct reviews into systemic issues in the aged care system and report to the Minister and Parliament on these matters. </w:t>
      </w:r>
      <w:r w:rsidRPr="001F2970">
        <w:t xml:space="preserve">Undertaking reviews is </w:t>
      </w:r>
      <w:r>
        <w:t xml:space="preserve">one of </w:t>
      </w:r>
      <w:r w:rsidRPr="001F2970">
        <w:t xml:space="preserve">the primary means through which </w:t>
      </w:r>
      <w:r>
        <w:t>the Office</w:t>
      </w:r>
      <w:r w:rsidRPr="001F2970">
        <w:t xml:space="preserve"> seek</w:t>
      </w:r>
      <w:r>
        <w:t>s</w:t>
      </w:r>
      <w:r w:rsidRPr="001F2970">
        <w:t xml:space="preserve"> to address long-standing issues</w:t>
      </w:r>
      <w:r w:rsidR="00490480">
        <w:t>,</w:t>
      </w:r>
      <w:r w:rsidRPr="001F2970">
        <w:t xml:space="preserve"> </w:t>
      </w:r>
      <w:r w:rsidR="00D0164A">
        <w:t xml:space="preserve">or </w:t>
      </w:r>
      <w:r w:rsidR="00A92AF1">
        <w:t xml:space="preserve">the effectiveness of new reforms, </w:t>
      </w:r>
      <w:r w:rsidRPr="001F2970">
        <w:t>in the</w:t>
      </w:r>
      <w:r w:rsidR="00A92AF1">
        <w:t xml:space="preserve"> government’s administration of the</w:t>
      </w:r>
      <w:r w:rsidRPr="001F2970">
        <w:t xml:space="preserve"> aged care</w:t>
      </w:r>
      <w:r>
        <w:t xml:space="preserve"> system</w:t>
      </w:r>
      <w:r w:rsidRPr="001F2970">
        <w:t>.</w:t>
      </w:r>
    </w:p>
    <w:p w14:paraId="6AA37DD1" w14:textId="4D83D31F" w:rsidR="00E71942" w:rsidRDefault="00C42F0E" w:rsidP="006541F4">
      <w:r>
        <w:t>Through these</w:t>
      </w:r>
      <w:r w:rsidRPr="001F2970">
        <w:t xml:space="preserve"> </w:t>
      </w:r>
      <w:r>
        <w:t>r</w:t>
      </w:r>
      <w:r w:rsidRPr="001F2970">
        <w:t>eviews</w:t>
      </w:r>
      <w:r>
        <w:t>,</w:t>
      </w:r>
      <w:r w:rsidRPr="001F2970">
        <w:t xml:space="preserve"> </w:t>
      </w:r>
      <w:r>
        <w:t>the Office aims</w:t>
      </w:r>
      <w:r w:rsidRPr="001F2970">
        <w:t xml:space="preserve"> to drive meaningful change </w:t>
      </w:r>
      <w:r>
        <w:t>in the system and</w:t>
      </w:r>
      <w:r w:rsidRPr="001F2970">
        <w:t xml:space="preserve"> illustrate how government can </w:t>
      </w:r>
      <w:r>
        <w:t>realise the</w:t>
      </w:r>
      <w:r w:rsidRPr="001F2970">
        <w:t xml:space="preserve"> </w:t>
      </w:r>
      <w:r>
        <w:t xml:space="preserve">rights-based, </w:t>
      </w:r>
      <w:r w:rsidRPr="001F2970">
        <w:t>equitable</w:t>
      </w:r>
      <w:r>
        <w:t>,</w:t>
      </w:r>
      <w:r w:rsidRPr="001F2970">
        <w:t xml:space="preserve"> person-centred aged care</w:t>
      </w:r>
      <w:r>
        <w:t xml:space="preserve"> system envisioned by the Royal Commission and </w:t>
      </w:r>
      <w:r w:rsidRPr="00A46E75">
        <w:t xml:space="preserve">codified by </w:t>
      </w:r>
      <w:r>
        <w:t xml:space="preserve">the new </w:t>
      </w:r>
      <w:r w:rsidR="00A92AF1">
        <w:rPr>
          <w:iCs/>
        </w:rPr>
        <w:t>Act</w:t>
      </w:r>
      <w:r w:rsidRPr="001F2970">
        <w:t>.</w:t>
      </w:r>
    </w:p>
    <w:p w14:paraId="6884E757" w14:textId="77777777" w:rsidR="00357C74" w:rsidRPr="00444D87" w:rsidRDefault="00E71942" w:rsidP="00444D87">
      <w:pPr>
        <w:pStyle w:val="Heading2"/>
        <w:numPr>
          <w:ilvl w:val="0"/>
          <w:numId w:val="0"/>
        </w:numPr>
        <w:rPr>
          <w:b w:val="0"/>
          <w:bCs w:val="0"/>
          <w:sz w:val="40"/>
          <w:szCs w:val="40"/>
        </w:rPr>
      </w:pPr>
      <w:bookmarkStart w:id="22" w:name="_Toc206085584"/>
      <w:bookmarkStart w:id="23" w:name="_Toc206703313"/>
      <w:bookmarkStart w:id="24" w:name="_Toc206750419"/>
      <w:bookmarkStart w:id="25" w:name="_Toc207110566"/>
      <w:r w:rsidRPr="00444D87">
        <w:rPr>
          <w:b w:val="0"/>
          <w:bCs w:val="0"/>
          <w:sz w:val="40"/>
          <w:szCs w:val="40"/>
        </w:rPr>
        <w:t>Planned activities for 2025–26</w:t>
      </w:r>
      <w:bookmarkStart w:id="26" w:name="_Toc206085585"/>
      <w:bookmarkStart w:id="27" w:name="_Toc206703314"/>
      <w:bookmarkEnd w:id="22"/>
      <w:bookmarkEnd w:id="23"/>
      <w:bookmarkEnd w:id="24"/>
      <w:bookmarkEnd w:id="25"/>
    </w:p>
    <w:p w14:paraId="39C22EED" w14:textId="30131E79" w:rsidR="00E71942" w:rsidRPr="00F8665A" w:rsidRDefault="00E71942" w:rsidP="00DE5032">
      <w:pPr>
        <w:pStyle w:val="Heading3"/>
      </w:pPr>
      <w:bookmarkStart w:id="28" w:name="_Toc207110567"/>
      <w:r w:rsidRPr="00F8665A">
        <w:t>Finalise the Review of the Administration of My Aged Care</w:t>
      </w:r>
      <w:bookmarkEnd w:id="26"/>
      <w:bookmarkEnd w:id="27"/>
      <w:bookmarkEnd w:id="28"/>
      <w:r w:rsidRPr="00F8665A">
        <w:t xml:space="preserve"> </w:t>
      </w:r>
    </w:p>
    <w:p w14:paraId="698F15BC" w14:textId="77777777" w:rsidR="00E71942" w:rsidRDefault="00E71942" w:rsidP="00E71942">
      <w:pPr>
        <w:spacing w:before="240"/>
      </w:pPr>
      <w:r w:rsidRPr="004D7A98">
        <w:t xml:space="preserve">On 26 March 2024, the </w:t>
      </w:r>
      <w:r>
        <w:t xml:space="preserve">former </w:t>
      </w:r>
      <w:r w:rsidRPr="004D7A98">
        <w:t xml:space="preserve">Acting Inspector-General of Aged Care, Mr Ian Yates AM, commenced a review on the Administration of My Aged Care, pursuant to section 18(2A) of the </w:t>
      </w:r>
      <w:r>
        <w:t xml:space="preserve">IGAC </w:t>
      </w:r>
      <w:r w:rsidRPr="004D7A98">
        <w:t>Act.</w:t>
      </w:r>
      <w:r>
        <w:t xml:space="preserve"> </w:t>
      </w:r>
      <w:r w:rsidRPr="004D7A98">
        <w:t>This inaugural review considers whether My Aged Care, as the single-entry point to the aged care system, is fit-for-purpose in facilitating timely access to aged care services and supports for all older people in Australia, regardless of their location, background and life experiences.</w:t>
      </w:r>
    </w:p>
    <w:p w14:paraId="3141ACC2" w14:textId="77777777" w:rsidR="00E71942" w:rsidRPr="004D7A98" w:rsidRDefault="00E71942" w:rsidP="00E71942">
      <w:pPr>
        <w:spacing w:before="240"/>
      </w:pPr>
      <w:r w:rsidRPr="00D3149A">
        <w:t>In undertaking this review, the Office has engaged widely with older people seeking and receiving aged care services, their families and carers, aged care stakeholders, advocacy services and relevant peak bodies, health professionals, aged care assessor organisations, as well as government agencies and external providers responsible for the administration and delivery of My Aged Care. The Office has received written and oral submissions, undertaken consultations, and has also requested specific information from government agencies and external providers.</w:t>
      </w:r>
    </w:p>
    <w:p w14:paraId="3F8D51B0" w14:textId="77777777" w:rsidR="00E71942" w:rsidRPr="004D7A98" w:rsidRDefault="00E71942" w:rsidP="00E71942">
      <w:pPr>
        <w:spacing w:before="240"/>
      </w:pPr>
      <w:r w:rsidRPr="004D7A98">
        <w:t>The final report of the review is expected to be provided to the Minister for Aged Care and Seniors in early October 2025 and must be tabled in Parliament within 15 sitting days of receipt.</w:t>
      </w:r>
    </w:p>
    <w:p w14:paraId="2B83A428" w14:textId="5B627877" w:rsidR="00E71942" w:rsidRPr="00F8665A" w:rsidRDefault="00E71942" w:rsidP="00DE5032">
      <w:pPr>
        <w:pStyle w:val="Heading3"/>
      </w:pPr>
      <w:bookmarkStart w:id="29" w:name="_Toc206085586"/>
      <w:bookmarkStart w:id="30" w:name="_Toc206703315"/>
      <w:bookmarkStart w:id="31" w:name="_Toc207110568"/>
      <w:r w:rsidRPr="00F8665A">
        <w:t>Commence the Review of the Implementation of Aged Care Royal Commission Recommendations</w:t>
      </w:r>
      <w:bookmarkEnd w:id="29"/>
      <w:bookmarkEnd w:id="30"/>
      <w:bookmarkEnd w:id="31"/>
    </w:p>
    <w:p w14:paraId="704A3025" w14:textId="143601E6" w:rsidR="00456AE8" w:rsidRDefault="00E71942" w:rsidP="006A3B0F">
      <w:pPr>
        <w:spacing w:before="240"/>
      </w:pPr>
      <w:r w:rsidRPr="009B1089">
        <w:t>Section 28 of the</w:t>
      </w:r>
      <w:r>
        <w:t xml:space="preserve"> IGAC</w:t>
      </w:r>
      <w:r w:rsidRPr="009B1089">
        <w:t xml:space="preserve"> Act</w:t>
      </w:r>
      <w:r>
        <w:t xml:space="preserve"> requires the Inspector-General to conduct a</w:t>
      </w:r>
      <w:r w:rsidRPr="009C7159">
        <w:t xml:space="preserve"> </w:t>
      </w:r>
      <w:r>
        <w:t>r</w:t>
      </w:r>
      <w:r w:rsidRPr="009C7159">
        <w:t xml:space="preserve">eview </w:t>
      </w:r>
      <w:r w:rsidRPr="00B40962">
        <w:t>to evaluate the implementation by the Commonwealth of the recommendations of the Aged Care Royal Commission</w:t>
      </w:r>
      <w:r>
        <w:t xml:space="preserve"> with</w:t>
      </w:r>
      <w:r w:rsidRPr="009B1089">
        <w:t xml:space="preserve"> a </w:t>
      </w:r>
      <w:r>
        <w:t>reporting</w:t>
      </w:r>
      <w:r w:rsidRPr="009B1089">
        <w:t xml:space="preserve"> date of 1 March 2026. </w:t>
      </w:r>
      <w:r>
        <w:t>The Office</w:t>
      </w:r>
      <w:r w:rsidRPr="009B1089">
        <w:t xml:space="preserve"> note</w:t>
      </w:r>
      <w:r>
        <w:t>s</w:t>
      </w:r>
      <w:r w:rsidRPr="009B1089">
        <w:t xml:space="preserve"> that </w:t>
      </w:r>
      <w:r w:rsidR="00490480" w:rsidRPr="009B1089">
        <w:t xml:space="preserve">parliament </w:t>
      </w:r>
      <w:r w:rsidRPr="009B1089">
        <w:t xml:space="preserve">is currently considering delaying the </w:t>
      </w:r>
      <w:r w:rsidR="007174A6">
        <w:t>deadline for this report</w:t>
      </w:r>
      <w:r w:rsidR="00032806">
        <w:t xml:space="preserve"> </w:t>
      </w:r>
      <w:r w:rsidRPr="009B1089">
        <w:t>to 1 November 2027</w:t>
      </w:r>
      <w:r w:rsidR="00490480">
        <w:t xml:space="preserve"> </w:t>
      </w:r>
      <w:r w:rsidR="00490480" w:rsidRPr="009B1089">
        <w:t>(through the Aged Care and Other Legislation Amendment Bill 2025)</w:t>
      </w:r>
      <w:r w:rsidR="00490480">
        <w:t xml:space="preserve">. The delay will enable this review’s findings to </w:t>
      </w:r>
      <w:r w:rsidR="00DC28D7">
        <w:t xml:space="preserve">properly reflect the impact of the new Act, </w:t>
      </w:r>
      <w:r w:rsidR="00032806">
        <w:t>wh</w:t>
      </w:r>
      <w:r w:rsidR="00490480">
        <w:t xml:space="preserve">ich </w:t>
      </w:r>
      <w:r w:rsidR="007174A6">
        <w:t>has been delayed to 1 November</w:t>
      </w:r>
      <w:r w:rsidR="00490480">
        <w:t xml:space="preserve"> 2025</w:t>
      </w:r>
      <w:r w:rsidRPr="009B1089">
        <w:t>.</w:t>
      </w:r>
      <w:r w:rsidR="008C685E">
        <w:t xml:space="preserve"> Pending </w:t>
      </w:r>
      <w:r w:rsidR="00490480">
        <w:t xml:space="preserve">parliament’s </w:t>
      </w:r>
      <w:r w:rsidR="008C685E">
        <w:t>consideration of this</w:t>
      </w:r>
      <w:r w:rsidR="00DC28D7">
        <w:t xml:space="preserve"> </w:t>
      </w:r>
      <w:r w:rsidR="00490480">
        <w:t>bill</w:t>
      </w:r>
      <w:r w:rsidR="00032806">
        <w:t xml:space="preserve">, this </w:t>
      </w:r>
      <w:r w:rsidR="00490480">
        <w:t>review</w:t>
      </w:r>
      <w:r w:rsidR="00032806">
        <w:t xml:space="preserve"> may be removed from the 2025</w:t>
      </w:r>
      <w:r w:rsidR="00456AE8">
        <w:t>–</w:t>
      </w:r>
      <w:r w:rsidR="00032806">
        <w:t>26 work</w:t>
      </w:r>
      <w:r w:rsidR="00C73308">
        <w:t xml:space="preserve"> </w:t>
      </w:r>
      <w:proofErr w:type="gramStart"/>
      <w:r w:rsidR="00032806">
        <w:t xml:space="preserve">plan, </w:t>
      </w:r>
      <w:r w:rsidR="00490480">
        <w:t>and</w:t>
      </w:r>
      <w:proofErr w:type="gramEnd"/>
      <w:r w:rsidR="00490480">
        <w:t xml:space="preserve"> </w:t>
      </w:r>
      <w:r w:rsidR="00032806">
        <w:t>appear on that for 2026</w:t>
      </w:r>
      <w:r w:rsidR="00C73308">
        <w:t>–</w:t>
      </w:r>
      <w:r w:rsidR="00032806">
        <w:t>27.</w:t>
      </w:r>
    </w:p>
    <w:p w14:paraId="10ACDE0C" w14:textId="77777777" w:rsidR="001B5CFA" w:rsidRDefault="001B5CFA" w:rsidP="00E71942">
      <w:pPr>
        <w:spacing w:before="240"/>
        <w:sectPr w:rsidR="001B5CFA" w:rsidSect="00485DE2">
          <w:pgSz w:w="11900" w:h="16840" w:code="9"/>
          <w:pgMar w:top="1440" w:right="1440" w:bottom="1440" w:left="1440" w:header="709" w:footer="510" w:gutter="0"/>
          <w:cols w:space="708"/>
          <w:titlePg/>
          <w:docGrid w:linePitch="360"/>
        </w:sectPr>
      </w:pPr>
    </w:p>
    <w:p w14:paraId="1B51D611" w14:textId="20CDD3E5" w:rsidR="00E71942" w:rsidRPr="00F8665A" w:rsidRDefault="00E71942" w:rsidP="005D434A">
      <w:pPr>
        <w:pStyle w:val="Heading2"/>
      </w:pPr>
      <w:bookmarkStart w:id="32" w:name="_Toc206085587"/>
      <w:bookmarkStart w:id="33" w:name="_Toc206703316"/>
      <w:bookmarkStart w:id="34" w:name="_Toc206750420"/>
      <w:bookmarkStart w:id="35" w:name="_Toc207110569"/>
      <w:r w:rsidRPr="00F8665A">
        <w:lastRenderedPageBreak/>
        <w:t>Driving change through</w:t>
      </w:r>
      <w:bookmarkEnd w:id="32"/>
      <w:bookmarkEnd w:id="33"/>
      <w:bookmarkEnd w:id="34"/>
      <w:r w:rsidR="00F075E4">
        <w:t xml:space="preserve"> focussed oversight projects</w:t>
      </w:r>
      <w:bookmarkEnd w:id="35"/>
    </w:p>
    <w:p w14:paraId="2D8E0D2A" w14:textId="76F39DAF" w:rsidR="00E71942" w:rsidRPr="0063383E" w:rsidRDefault="00E71942" w:rsidP="00E71942">
      <w:pPr>
        <w:spacing w:before="240"/>
        <w:rPr>
          <w:szCs w:val="22"/>
        </w:rPr>
      </w:pPr>
      <w:r w:rsidRPr="0063383E">
        <w:rPr>
          <w:szCs w:val="22"/>
        </w:rPr>
        <w:t xml:space="preserve">In line with </w:t>
      </w:r>
      <w:r>
        <w:rPr>
          <w:szCs w:val="22"/>
        </w:rPr>
        <w:t>the Inspector-General’s</w:t>
      </w:r>
      <w:r w:rsidRPr="0063383E">
        <w:rPr>
          <w:szCs w:val="22"/>
        </w:rPr>
        <w:t xml:space="preserve"> ambition to see the rights-based, person-centred, </w:t>
      </w:r>
      <w:proofErr w:type="gramStart"/>
      <w:r w:rsidRPr="0063383E">
        <w:rPr>
          <w:szCs w:val="22"/>
        </w:rPr>
        <w:t>high</w:t>
      </w:r>
      <w:r w:rsidR="00E37E87">
        <w:rPr>
          <w:szCs w:val="22"/>
        </w:rPr>
        <w:t xml:space="preserve"> </w:t>
      </w:r>
      <w:r w:rsidRPr="0063383E">
        <w:rPr>
          <w:szCs w:val="22"/>
        </w:rPr>
        <w:t>quality</w:t>
      </w:r>
      <w:proofErr w:type="gramEnd"/>
      <w:r w:rsidRPr="0063383E">
        <w:rPr>
          <w:szCs w:val="22"/>
        </w:rPr>
        <w:t xml:space="preserve"> care codified by the new</w:t>
      </w:r>
      <w:r w:rsidR="00E37E87">
        <w:rPr>
          <w:szCs w:val="22"/>
        </w:rPr>
        <w:t xml:space="preserve"> Act</w:t>
      </w:r>
      <w:r>
        <w:rPr>
          <w:i/>
          <w:iCs/>
          <w:szCs w:val="22"/>
        </w:rPr>
        <w:t xml:space="preserve"> </w:t>
      </w:r>
      <w:r>
        <w:rPr>
          <w:szCs w:val="22"/>
        </w:rPr>
        <w:t>realised</w:t>
      </w:r>
      <w:r w:rsidRPr="0063383E">
        <w:rPr>
          <w:szCs w:val="22"/>
        </w:rPr>
        <w:t xml:space="preserve">, the theme for our </w:t>
      </w:r>
      <w:r>
        <w:rPr>
          <w:szCs w:val="22"/>
        </w:rPr>
        <w:t>oversight</w:t>
      </w:r>
      <w:r w:rsidRPr="0063383E">
        <w:rPr>
          <w:szCs w:val="22"/>
        </w:rPr>
        <w:t xml:space="preserve"> activities in 2025</w:t>
      </w:r>
      <w:r w:rsidR="00456AE8">
        <w:rPr>
          <w:szCs w:val="22"/>
        </w:rPr>
        <w:t>–</w:t>
      </w:r>
      <w:r w:rsidRPr="0063383E">
        <w:rPr>
          <w:szCs w:val="22"/>
        </w:rPr>
        <w:t>2026 will be:</w:t>
      </w:r>
      <w:r w:rsidRPr="005C41A1">
        <w:t xml:space="preserve"> </w:t>
      </w:r>
      <w:r w:rsidRPr="00C72D2F">
        <w:rPr>
          <w:b/>
          <w:bCs/>
          <w:i/>
          <w:iCs/>
          <w:color w:val="703E6D" w:themeColor="accent3" w:themeShade="80"/>
        </w:rPr>
        <w:t xml:space="preserve">From </w:t>
      </w:r>
      <w:r>
        <w:rPr>
          <w:b/>
          <w:bCs/>
          <w:i/>
          <w:iCs/>
          <w:color w:val="703E6D" w:themeColor="accent3" w:themeShade="80"/>
        </w:rPr>
        <w:t>a</w:t>
      </w:r>
      <w:r w:rsidRPr="00C72D2F">
        <w:rPr>
          <w:b/>
          <w:bCs/>
          <w:i/>
          <w:iCs/>
          <w:color w:val="703E6D" w:themeColor="accent3" w:themeShade="80"/>
        </w:rPr>
        <w:t xml:space="preserve">spiration to </w:t>
      </w:r>
      <w:r>
        <w:rPr>
          <w:b/>
          <w:bCs/>
          <w:i/>
          <w:iCs/>
          <w:color w:val="703E6D" w:themeColor="accent3" w:themeShade="80"/>
        </w:rPr>
        <w:t>a</w:t>
      </w:r>
      <w:r w:rsidRPr="00C72D2F">
        <w:rPr>
          <w:b/>
          <w:bCs/>
          <w:i/>
          <w:iCs/>
          <w:color w:val="703E6D" w:themeColor="accent3" w:themeShade="80"/>
        </w:rPr>
        <w:t xml:space="preserve">ction: </w:t>
      </w:r>
      <w:r w:rsidR="00FC4A1E">
        <w:rPr>
          <w:b/>
          <w:bCs/>
          <w:i/>
          <w:iCs/>
          <w:color w:val="703E6D" w:themeColor="accent3" w:themeShade="80"/>
        </w:rPr>
        <w:t>R</w:t>
      </w:r>
      <w:r w:rsidRPr="00C72D2F">
        <w:rPr>
          <w:b/>
          <w:bCs/>
          <w:i/>
          <w:iCs/>
          <w:color w:val="703E6D" w:themeColor="accent3" w:themeShade="80"/>
        </w:rPr>
        <w:t xml:space="preserve">ealising </w:t>
      </w:r>
      <w:r>
        <w:rPr>
          <w:b/>
          <w:bCs/>
          <w:i/>
          <w:iCs/>
          <w:color w:val="703E6D" w:themeColor="accent3" w:themeShade="80"/>
        </w:rPr>
        <w:t>h</w:t>
      </w:r>
      <w:r w:rsidRPr="00C72D2F">
        <w:rPr>
          <w:b/>
          <w:bCs/>
          <w:i/>
          <w:iCs/>
          <w:color w:val="703E6D" w:themeColor="accent3" w:themeShade="80"/>
        </w:rPr>
        <w:t xml:space="preserve">uman </w:t>
      </w:r>
      <w:r>
        <w:rPr>
          <w:b/>
          <w:bCs/>
          <w:i/>
          <w:iCs/>
          <w:color w:val="703E6D" w:themeColor="accent3" w:themeShade="80"/>
        </w:rPr>
        <w:t>r</w:t>
      </w:r>
      <w:r w:rsidRPr="00C72D2F">
        <w:rPr>
          <w:b/>
          <w:bCs/>
          <w:i/>
          <w:iCs/>
          <w:color w:val="703E6D" w:themeColor="accent3" w:themeShade="80"/>
        </w:rPr>
        <w:t xml:space="preserve">ights and </w:t>
      </w:r>
      <w:r>
        <w:rPr>
          <w:b/>
          <w:bCs/>
          <w:i/>
          <w:iCs/>
          <w:color w:val="703E6D" w:themeColor="accent3" w:themeShade="80"/>
        </w:rPr>
        <w:t>p</w:t>
      </w:r>
      <w:r w:rsidRPr="00C72D2F">
        <w:rPr>
          <w:b/>
          <w:bCs/>
          <w:i/>
          <w:iCs/>
          <w:color w:val="703E6D" w:themeColor="accent3" w:themeShade="80"/>
        </w:rPr>
        <w:t>erson-</w:t>
      </w:r>
      <w:r>
        <w:rPr>
          <w:b/>
          <w:bCs/>
          <w:i/>
          <w:iCs/>
          <w:color w:val="703E6D" w:themeColor="accent3" w:themeShade="80"/>
        </w:rPr>
        <w:t>c</w:t>
      </w:r>
      <w:r w:rsidRPr="00C72D2F">
        <w:rPr>
          <w:b/>
          <w:bCs/>
          <w:i/>
          <w:iCs/>
          <w:color w:val="703E6D" w:themeColor="accent3" w:themeShade="80"/>
        </w:rPr>
        <w:t xml:space="preserve">entred </w:t>
      </w:r>
      <w:r>
        <w:rPr>
          <w:b/>
          <w:bCs/>
          <w:i/>
          <w:iCs/>
          <w:color w:val="703E6D" w:themeColor="accent3" w:themeShade="80"/>
        </w:rPr>
        <w:t>c</w:t>
      </w:r>
      <w:r w:rsidRPr="00C72D2F">
        <w:rPr>
          <w:b/>
          <w:bCs/>
          <w:i/>
          <w:iCs/>
          <w:color w:val="703E6D" w:themeColor="accent3" w:themeShade="80"/>
        </w:rPr>
        <w:t xml:space="preserve">are in </w:t>
      </w:r>
      <w:r>
        <w:rPr>
          <w:b/>
          <w:bCs/>
          <w:i/>
          <w:iCs/>
          <w:color w:val="703E6D" w:themeColor="accent3" w:themeShade="80"/>
        </w:rPr>
        <w:t>a</w:t>
      </w:r>
      <w:r w:rsidRPr="00C72D2F">
        <w:rPr>
          <w:b/>
          <w:bCs/>
          <w:i/>
          <w:iCs/>
          <w:color w:val="703E6D" w:themeColor="accent3" w:themeShade="80"/>
        </w:rPr>
        <w:t xml:space="preserve">ged </w:t>
      </w:r>
      <w:r>
        <w:rPr>
          <w:b/>
          <w:bCs/>
          <w:i/>
          <w:iCs/>
          <w:color w:val="703E6D" w:themeColor="accent3" w:themeShade="80"/>
        </w:rPr>
        <w:t>c</w:t>
      </w:r>
      <w:r w:rsidRPr="00C72D2F">
        <w:rPr>
          <w:b/>
          <w:bCs/>
          <w:i/>
          <w:iCs/>
          <w:color w:val="703E6D" w:themeColor="accent3" w:themeShade="80"/>
        </w:rPr>
        <w:t>are</w:t>
      </w:r>
      <w:r>
        <w:rPr>
          <w:b/>
          <w:bCs/>
          <w:i/>
          <w:iCs/>
          <w:color w:val="703E6D" w:themeColor="accent3" w:themeShade="80"/>
        </w:rPr>
        <w:t>.</w:t>
      </w:r>
    </w:p>
    <w:p w14:paraId="3D9BC692" w14:textId="7AF52733" w:rsidR="00E71942" w:rsidRPr="0063383E" w:rsidRDefault="00E71942" w:rsidP="00E71942">
      <w:pPr>
        <w:rPr>
          <w:szCs w:val="22"/>
        </w:rPr>
      </w:pPr>
      <w:r w:rsidRPr="0063383E">
        <w:rPr>
          <w:rFonts w:cstheme="minorHAnsi"/>
          <w:szCs w:val="22"/>
        </w:rPr>
        <w:t>The</w:t>
      </w:r>
      <w:r w:rsidR="007C7191">
        <w:rPr>
          <w:rFonts w:cstheme="minorHAnsi"/>
          <w:szCs w:val="22"/>
        </w:rPr>
        <w:t xml:space="preserve"> five </w:t>
      </w:r>
      <w:r w:rsidR="00AB623B">
        <w:rPr>
          <w:rFonts w:cstheme="minorHAnsi"/>
          <w:szCs w:val="22"/>
        </w:rPr>
        <w:t>bodies of work</w:t>
      </w:r>
      <w:r w:rsidR="007C7191">
        <w:rPr>
          <w:rFonts w:cstheme="minorHAnsi"/>
          <w:szCs w:val="22"/>
        </w:rPr>
        <w:t xml:space="preserve"> identified to commence in 2025</w:t>
      </w:r>
      <w:r w:rsidR="00456AE8">
        <w:rPr>
          <w:rFonts w:cstheme="minorHAnsi"/>
          <w:szCs w:val="22"/>
        </w:rPr>
        <w:t>–</w:t>
      </w:r>
      <w:r w:rsidR="007C7191">
        <w:rPr>
          <w:rFonts w:cstheme="minorHAnsi"/>
          <w:szCs w:val="22"/>
        </w:rPr>
        <w:t>26</w:t>
      </w:r>
      <w:r w:rsidR="00AB623B">
        <w:rPr>
          <w:rFonts w:cstheme="minorHAnsi"/>
          <w:szCs w:val="22"/>
        </w:rPr>
        <w:t xml:space="preserve"> </w:t>
      </w:r>
      <w:r w:rsidRPr="0063383E">
        <w:rPr>
          <w:rFonts w:cstheme="minorHAnsi"/>
          <w:szCs w:val="22"/>
        </w:rPr>
        <w:t>may not necessarily take the form</w:t>
      </w:r>
      <w:r>
        <w:rPr>
          <w:rFonts w:cstheme="minorHAnsi"/>
          <w:szCs w:val="22"/>
        </w:rPr>
        <w:t xml:space="preserve"> </w:t>
      </w:r>
      <w:r w:rsidRPr="0063383E">
        <w:rPr>
          <w:rFonts w:cstheme="minorHAnsi"/>
          <w:szCs w:val="22"/>
        </w:rPr>
        <w:t xml:space="preserve">of lengthy government </w:t>
      </w:r>
      <w:proofErr w:type="gramStart"/>
      <w:r w:rsidRPr="0063383E">
        <w:rPr>
          <w:rFonts w:cstheme="minorHAnsi"/>
          <w:szCs w:val="22"/>
        </w:rPr>
        <w:t xml:space="preserve">reports, </w:t>
      </w:r>
      <w:r>
        <w:rPr>
          <w:rFonts w:cstheme="minorHAnsi"/>
          <w:szCs w:val="22"/>
        </w:rPr>
        <w:t>but</w:t>
      </w:r>
      <w:proofErr w:type="gramEnd"/>
      <w:r w:rsidRPr="0063383E">
        <w:rPr>
          <w:rFonts w:cstheme="minorHAnsi"/>
          <w:szCs w:val="22"/>
        </w:rPr>
        <w:t xml:space="preserve"> will </w:t>
      </w:r>
      <w:r w:rsidR="00165169">
        <w:rPr>
          <w:rFonts w:cstheme="minorHAnsi"/>
          <w:szCs w:val="22"/>
        </w:rPr>
        <w:t xml:space="preserve">engage the public in a conversation with the </w:t>
      </w:r>
      <w:proofErr w:type="gramStart"/>
      <w:r w:rsidR="00165169">
        <w:rPr>
          <w:rFonts w:cstheme="minorHAnsi"/>
          <w:szCs w:val="22"/>
        </w:rPr>
        <w:t>ultim</w:t>
      </w:r>
      <w:r w:rsidR="00E0562F">
        <w:rPr>
          <w:rFonts w:cstheme="minorHAnsi"/>
          <w:szCs w:val="22"/>
        </w:rPr>
        <w:t>ate aim</w:t>
      </w:r>
      <w:proofErr w:type="gramEnd"/>
      <w:r w:rsidR="00E0562F">
        <w:rPr>
          <w:rFonts w:cstheme="minorHAnsi"/>
          <w:szCs w:val="22"/>
        </w:rPr>
        <w:t xml:space="preserve"> </w:t>
      </w:r>
      <w:r w:rsidR="00EE0EFF">
        <w:rPr>
          <w:rFonts w:cstheme="minorHAnsi"/>
          <w:szCs w:val="22"/>
        </w:rPr>
        <w:t xml:space="preserve">of </w:t>
      </w:r>
      <w:r w:rsidRPr="0063383E">
        <w:rPr>
          <w:rFonts w:cstheme="minorHAnsi"/>
          <w:szCs w:val="22"/>
        </w:rPr>
        <w:t>fulfil</w:t>
      </w:r>
      <w:r w:rsidR="00EE0EFF">
        <w:rPr>
          <w:rFonts w:cstheme="minorHAnsi"/>
          <w:szCs w:val="22"/>
        </w:rPr>
        <w:t>ling</w:t>
      </w:r>
      <w:r w:rsidRPr="0063383E">
        <w:rPr>
          <w:rFonts w:cstheme="minorHAnsi"/>
          <w:szCs w:val="22"/>
        </w:rPr>
        <w:t xml:space="preserve"> </w:t>
      </w:r>
      <w:r>
        <w:rPr>
          <w:rFonts w:cstheme="minorHAnsi"/>
          <w:szCs w:val="22"/>
        </w:rPr>
        <w:t xml:space="preserve">the </w:t>
      </w:r>
      <w:r w:rsidRPr="0063383E">
        <w:rPr>
          <w:rFonts w:cstheme="minorHAnsi"/>
          <w:szCs w:val="22"/>
        </w:rPr>
        <w:t xml:space="preserve">reporting </w:t>
      </w:r>
      <w:r>
        <w:rPr>
          <w:rFonts w:cstheme="minorHAnsi"/>
          <w:szCs w:val="22"/>
        </w:rPr>
        <w:t>obligations of the Inspector-General</w:t>
      </w:r>
      <w:r w:rsidRPr="0063383E">
        <w:rPr>
          <w:rFonts w:cstheme="minorHAnsi"/>
          <w:szCs w:val="22"/>
        </w:rPr>
        <w:t xml:space="preserve"> under </w:t>
      </w:r>
      <w:r>
        <w:rPr>
          <w:rFonts w:cstheme="minorHAnsi"/>
          <w:szCs w:val="22"/>
        </w:rPr>
        <w:t>the IGAC</w:t>
      </w:r>
      <w:r w:rsidRPr="0063383E">
        <w:rPr>
          <w:rFonts w:cstheme="minorHAnsi"/>
          <w:szCs w:val="22"/>
        </w:rPr>
        <w:t xml:space="preserve"> Act. </w:t>
      </w:r>
      <w:r>
        <w:rPr>
          <w:rFonts w:cstheme="minorHAnsi"/>
          <w:szCs w:val="22"/>
        </w:rPr>
        <w:t>Through reporting and other oversight activities, the Office aims</w:t>
      </w:r>
      <w:r w:rsidRPr="0063383E">
        <w:rPr>
          <w:rFonts w:cstheme="minorHAnsi"/>
          <w:szCs w:val="22"/>
        </w:rPr>
        <w:t xml:space="preserve"> to drive change in a way that engages the public, and older </w:t>
      </w:r>
      <w:r>
        <w:rPr>
          <w:rFonts w:cstheme="minorHAnsi"/>
          <w:szCs w:val="22"/>
        </w:rPr>
        <w:t>people in Australia</w:t>
      </w:r>
      <w:r w:rsidRPr="0063383E">
        <w:rPr>
          <w:rFonts w:cstheme="minorHAnsi"/>
          <w:szCs w:val="22"/>
        </w:rPr>
        <w:t xml:space="preserve"> in particular, in </w:t>
      </w:r>
      <w:r w:rsidR="00EE0EFF">
        <w:rPr>
          <w:rFonts w:cstheme="minorHAnsi"/>
          <w:szCs w:val="22"/>
        </w:rPr>
        <w:t>the discourse needed to truly transform Australia’s aged care system</w:t>
      </w:r>
      <w:r w:rsidRPr="0063383E">
        <w:rPr>
          <w:rFonts w:cstheme="minorHAnsi"/>
          <w:szCs w:val="22"/>
        </w:rPr>
        <w:t>.</w:t>
      </w:r>
    </w:p>
    <w:p w14:paraId="1C1D9F5D" w14:textId="77777777" w:rsidR="00E71942" w:rsidRPr="00444D87" w:rsidRDefault="00E71942" w:rsidP="00444D87">
      <w:pPr>
        <w:pStyle w:val="Heading2"/>
        <w:numPr>
          <w:ilvl w:val="0"/>
          <w:numId w:val="0"/>
        </w:numPr>
        <w:rPr>
          <w:b w:val="0"/>
          <w:bCs w:val="0"/>
          <w:sz w:val="40"/>
          <w:szCs w:val="40"/>
        </w:rPr>
      </w:pPr>
      <w:bookmarkStart w:id="36" w:name="_Toc206085588"/>
      <w:bookmarkStart w:id="37" w:name="_Toc206703317"/>
      <w:bookmarkStart w:id="38" w:name="_Toc206750421"/>
      <w:bookmarkStart w:id="39" w:name="_Toc207110570"/>
      <w:r w:rsidRPr="00444D87">
        <w:rPr>
          <w:b w:val="0"/>
          <w:bCs w:val="0"/>
          <w:sz w:val="40"/>
          <w:szCs w:val="40"/>
        </w:rPr>
        <w:t>Work to be commenced in 2025–2026</w:t>
      </w:r>
      <w:bookmarkEnd w:id="36"/>
      <w:bookmarkEnd w:id="37"/>
      <w:bookmarkEnd w:id="38"/>
      <w:bookmarkEnd w:id="39"/>
      <w:r w:rsidRPr="00444D87">
        <w:rPr>
          <w:b w:val="0"/>
          <w:bCs w:val="0"/>
          <w:sz w:val="40"/>
          <w:szCs w:val="40"/>
        </w:rPr>
        <w:t xml:space="preserve"> </w:t>
      </w:r>
    </w:p>
    <w:p w14:paraId="614256F0" w14:textId="22F68E4E" w:rsidR="001B5CFA" w:rsidRDefault="00E71942" w:rsidP="001B5CFA">
      <w:pPr>
        <w:spacing w:before="240"/>
      </w:pPr>
      <w:r>
        <w:t xml:space="preserve">The Inspector-General will commence </w:t>
      </w:r>
      <w:r w:rsidR="00506C26">
        <w:t>projects o</w:t>
      </w:r>
      <w:r>
        <w:t xml:space="preserve">n the following </w:t>
      </w:r>
      <w:r w:rsidR="00506C26">
        <w:t xml:space="preserve">focus </w:t>
      </w:r>
      <w:r>
        <w:t>areas</w:t>
      </w:r>
      <w:r w:rsidR="00506C26">
        <w:t xml:space="preserve"> in 2025</w:t>
      </w:r>
      <w:r w:rsidR="00456AE8">
        <w:t>–</w:t>
      </w:r>
      <w:r w:rsidR="00506C26">
        <w:t>26</w:t>
      </w:r>
      <w:r>
        <w:t>, engaging with stakeholders and people with lived experience to shape the</w:t>
      </w:r>
      <w:r w:rsidR="00350D97">
        <w:t>ir</w:t>
      </w:r>
      <w:r>
        <w:t xml:space="preserve"> delivery. </w:t>
      </w:r>
      <w:proofErr w:type="gramStart"/>
      <w:r w:rsidR="00EF23E7">
        <w:t>All of</w:t>
      </w:r>
      <w:proofErr w:type="gramEnd"/>
      <w:r w:rsidR="00EF23E7">
        <w:t xml:space="preserve"> the activities will inform our legislative functions under section 10 of the IGAC Act and fulfil our objectives under section 3 of the Act. </w:t>
      </w:r>
      <w:r>
        <w:t xml:space="preserve">Some </w:t>
      </w:r>
      <w:r w:rsidR="00EF23E7">
        <w:t>projects may result in the production of reports</w:t>
      </w:r>
      <w:r>
        <w:t>, while other</w:t>
      </w:r>
      <w:r w:rsidR="00EF23E7">
        <w:t>s</w:t>
      </w:r>
      <w:r>
        <w:t xml:space="preserve"> may be </w:t>
      </w:r>
      <w:r w:rsidR="00EF23E7">
        <w:t xml:space="preserve">progressed </w:t>
      </w:r>
      <w:r>
        <w:t xml:space="preserve">through different mediums, such as </w:t>
      </w:r>
      <w:r w:rsidR="00506C26">
        <w:t xml:space="preserve">face-to-face </w:t>
      </w:r>
      <w:r w:rsidR="00890E99">
        <w:t xml:space="preserve">roundtables, </w:t>
      </w:r>
      <w:r>
        <w:t>discussion papers, webinars</w:t>
      </w:r>
      <w:r w:rsidR="00890E99">
        <w:t xml:space="preserve"> or a range of </w:t>
      </w:r>
      <w:r w:rsidR="008E0976">
        <w:t xml:space="preserve">different activities designed to maximise engagement in new thinking, </w:t>
      </w:r>
      <w:r w:rsidR="00EF23E7">
        <w:t xml:space="preserve">while minimising </w:t>
      </w:r>
      <w:r w:rsidR="008E0976">
        <w:t>consultation-fatigue</w:t>
      </w:r>
      <w:r>
        <w:t>.</w:t>
      </w:r>
    </w:p>
    <w:p w14:paraId="0965E0DA" w14:textId="2F67620C" w:rsidR="00DB2838" w:rsidRPr="00680F49" w:rsidRDefault="00DB2838" w:rsidP="00680F49">
      <w:pPr>
        <w:pStyle w:val="Heading3"/>
      </w:pPr>
      <w:bookmarkStart w:id="40" w:name="_Toc206085589"/>
      <w:bookmarkStart w:id="41" w:name="_Toc206703318"/>
      <w:bookmarkStart w:id="42" w:name="_Toc207110571"/>
      <w:r w:rsidRPr="00680F49">
        <w:t>Human rights</w:t>
      </w:r>
      <w:bookmarkEnd w:id="40"/>
      <w:bookmarkEnd w:id="41"/>
      <w:bookmarkEnd w:id="42"/>
    </w:p>
    <w:tbl>
      <w:tblPr>
        <w:tblStyle w:val="Basictable"/>
        <w:tblW w:w="5000" w:type="pct"/>
        <w:tblLook w:val="0420" w:firstRow="1" w:lastRow="0" w:firstColumn="0" w:lastColumn="0" w:noHBand="0" w:noVBand="1"/>
      </w:tblPr>
      <w:tblGrid>
        <w:gridCol w:w="3866"/>
        <w:gridCol w:w="5154"/>
      </w:tblGrid>
      <w:tr w:rsidR="00F02E70" w14:paraId="2FA437E5" w14:textId="77777777" w:rsidTr="00CF0BE4">
        <w:trPr>
          <w:cnfStyle w:val="100000000000" w:firstRow="1" w:lastRow="0" w:firstColumn="0" w:lastColumn="0" w:oddVBand="0" w:evenVBand="0" w:oddHBand="0" w:evenHBand="0" w:firstRowFirstColumn="0" w:firstRowLastColumn="0" w:lastRowFirstColumn="0" w:lastRowLastColumn="0"/>
        </w:trPr>
        <w:tc>
          <w:tcPr>
            <w:tcW w:w="1885" w:type="pct"/>
          </w:tcPr>
          <w:p w14:paraId="4344CB39" w14:textId="77777777" w:rsidR="00366058" w:rsidRDefault="00366058" w:rsidP="00DA2044">
            <w:r w:rsidRPr="00E00962">
              <w:t>Topic</w:t>
            </w:r>
          </w:p>
        </w:tc>
        <w:tc>
          <w:tcPr>
            <w:tcW w:w="2514" w:type="pct"/>
          </w:tcPr>
          <w:p w14:paraId="41352A4A" w14:textId="77777777" w:rsidR="00366058" w:rsidRDefault="00366058" w:rsidP="00DA2044">
            <w:r w:rsidRPr="00E00962">
              <w:t>Rationale</w:t>
            </w:r>
          </w:p>
        </w:tc>
      </w:tr>
      <w:tr w:rsidR="00076EB9" w14:paraId="4F96002B" w14:textId="77777777" w:rsidTr="00CF0BE4">
        <w:tc>
          <w:tcPr>
            <w:tcW w:w="1885" w:type="pct"/>
          </w:tcPr>
          <w:p w14:paraId="123B42E6" w14:textId="1C578F7C" w:rsidR="00076EB9" w:rsidRDefault="00076EB9" w:rsidP="009B4FF1">
            <w:pPr>
              <w:spacing w:before="120"/>
            </w:pPr>
            <w:r w:rsidRPr="00464B60">
              <w:t xml:space="preserve">How can the full definition of </w:t>
            </w:r>
            <w:proofErr w:type="gramStart"/>
            <w:r w:rsidR="00405B59" w:rsidRPr="00464B60">
              <w:t>high</w:t>
            </w:r>
            <w:r w:rsidR="00E37E87">
              <w:t xml:space="preserve"> </w:t>
            </w:r>
            <w:r w:rsidR="00405B59" w:rsidRPr="00464B60">
              <w:t>quality</w:t>
            </w:r>
            <w:proofErr w:type="gramEnd"/>
            <w:r w:rsidRPr="00464B60">
              <w:t xml:space="preserve"> care be achieved?</w:t>
            </w:r>
          </w:p>
        </w:tc>
        <w:tc>
          <w:tcPr>
            <w:tcW w:w="2514" w:type="pct"/>
          </w:tcPr>
          <w:p w14:paraId="1EB5A22A" w14:textId="70D4EB9D" w:rsidR="00733D75" w:rsidRDefault="009B4FF1" w:rsidP="00733D75">
            <w:pPr>
              <w:spacing w:before="120" w:afterAutospacing="0"/>
            </w:pPr>
            <w:r>
              <w:t xml:space="preserve">Section 20 of the </w:t>
            </w:r>
            <w:r w:rsidR="00E37E87">
              <w:t>new Act</w:t>
            </w:r>
            <w:r>
              <w:t xml:space="preserve"> comprehensively details an 18-plank right to high</w:t>
            </w:r>
            <w:r w:rsidR="00E37E87">
              <w:t xml:space="preserve"> </w:t>
            </w:r>
            <w:r>
              <w:t>quality care that prioritises kindness, compassion and respect, self-determination, dignity, quality of life, mental health and well-being of the individual.</w:t>
            </w:r>
          </w:p>
          <w:p w14:paraId="06E9BA20" w14:textId="57F441AA" w:rsidR="00076EB9" w:rsidRDefault="009B4FF1" w:rsidP="00733D75">
            <w:pPr>
              <w:spacing w:before="120" w:afterAutospacing="0"/>
            </w:pPr>
            <w:r>
              <w:t xml:space="preserve">However, the government’s funding of the aged care system focuses almost solely on clinical care and some elements of restorative care. The Office will consider what incentives, disincentives, and government levers are required to ensure the full notion of </w:t>
            </w:r>
            <w:proofErr w:type="gramStart"/>
            <w:r w:rsidR="00E51A78">
              <w:t>high</w:t>
            </w:r>
            <w:r w:rsidR="00E37E87">
              <w:t xml:space="preserve"> </w:t>
            </w:r>
            <w:r w:rsidR="00E51A78">
              <w:t>quality</w:t>
            </w:r>
            <w:proofErr w:type="gramEnd"/>
            <w:r>
              <w:t xml:space="preserve"> care is </w:t>
            </w:r>
            <w:r w:rsidR="0067547B">
              <w:t>realised and</w:t>
            </w:r>
            <w:r>
              <w:t xml:space="preserve"> delivered across the aged care system.</w:t>
            </w:r>
          </w:p>
        </w:tc>
      </w:tr>
      <w:tr w:rsidR="00076EB9" w14:paraId="0F3DD139" w14:textId="77777777" w:rsidTr="00CF0BE4">
        <w:trPr>
          <w:cnfStyle w:val="000000010000" w:firstRow="0" w:lastRow="0" w:firstColumn="0" w:lastColumn="0" w:oddVBand="0" w:evenVBand="0" w:oddHBand="0" w:evenHBand="1" w:firstRowFirstColumn="0" w:firstRowLastColumn="0" w:lastRowFirstColumn="0" w:lastRowLastColumn="0"/>
        </w:trPr>
        <w:tc>
          <w:tcPr>
            <w:tcW w:w="1885" w:type="pct"/>
          </w:tcPr>
          <w:p w14:paraId="48914158" w14:textId="3C1E4F97" w:rsidR="00076EB9" w:rsidRDefault="00076EB9" w:rsidP="00B168E4">
            <w:pPr>
              <w:spacing w:before="120"/>
            </w:pPr>
            <w:r w:rsidRPr="00C9527D">
              <w:t xml:space="preserve">Restrictive </w:t>
            </w:r>
            <w:r w:rsidR="00527902">
              <w:t>p</w:t>
            </w:r>
            <w:r w:rsidRPr="00C9527D">
              <w:t>ractices: What is needed for true reduction and elimination</w:t>
            </w:r>
          </w:p>
        </w:tc>
        <w:tc>
          <w:tcPr>
            <w:tcW w:w="2514" w:type="pct"/>
          </w:tcPr>
          <w:p w14:paraId="54591FCD" w14:textId="77777777" w:rsidR="00733D75" w:rsidRDefault="00682A84" w:rsidP="003D1D9C">
            <w:pPr>
              <w:spacing w:before="120" w:afterAutospacing="0"/>
            </w:pPr>
            <w:r>
              <w:t xml:space="preserve">In almost every other care sector, the paradigm proscribing the use of restrictive practices is ‘reduction and elimination’. Aged care is one of the few sectors where the discourse and approach lags.  Restrictive </w:t>
            </w:r>
            <w:r>
              <w:lastRenderedPageBreak/>
              <w:t>practices are still being over-used in aged care. This is an egregious breach of the rights of the individual.</w:t>
            </w:r>
            <w:r w:rsidR="003D1D9C">
              <w:t xml:space="preserve"> </w:t>
            </w:r>
          </w:p>
          <w:p w14:paraId="40FB9988" w14:textId="3942D7AF" w:rsidR="00076EB9" w:rsidRDefault="00682A84" w:rsidP="003D1D9C">
            <w:pPr>
              <w:spacing w:before="120" w:afterAutospacing="0"/>
            </w:pPr>
            <w:r>
              <w:t>There are clear lessons from stakeholders and other sectors regarding how major reductions with the aim of elimination of restrictive practices can be achieved, in line with the human rights focus of the new Act.</w:t>
            </w:r>
          </w:p>
        </w:tc>
      </w:tr>
    </w:tbl>
    <w:p w14:paraId="79A93700" w14:textId="1278FD44" w:rsidR="005B0279" w:rsidRDefault="005B0279" w:rsidP="006541F4"/>
    <w:p w14:paraId="02407681" w14:textId="31BB4326" w:rsidR="00BB43C6" w:rsidRDefault="00C2392B" w:rsidP="00DE5032">
      <w:pPr>
        <w:pStyle w:val="Heading3"/>
      </w:pPr>
      <w:bookmarkStart w:id="43" w:name="_Toc206085590"/>
      <w:bookmarkStart w:id="44" w:name="_Toc206703319"/>
      <w:bookmarkStart w:id="45" w:name="_Toc207110572"/>
      <w:r w:rsidRPr="00A94FE4">
        <w:t>An equitable and sustainable aged care system</w:t>
      </w:r>
      <w:bookmarkEnd w:id="43"/>
      <w:bookmarkEnd w:id="44"/>
      <w:bookmarkEnd w:id="45"/>
    </w:p>
    <w:tbl>
      <w:tblPr>
        <w:tblStyle w:val="Basictable"/>
        <w:tblW w:w="5000" w:type="pct"/>
        <w:tblLook w:val="0420" w:firstRow="1" w:lastRow="0" w:firstColumn="0" w:lastColumn="0" w:noHBand="0" w:noVBand="1"/>
      </w:tblPr>
      <w:tblGrid>
        <w:gridCol w:w="3866"/>
        <w:gridCol w:w="5154"/>
      </w:tblGrid>
      <w:tr w:rsidR="00BB43C6" w14:paraId="225F1074" w14:textId="77777777" w:rsidTr="00CF0BE4">
        <w:trPr>
          <w:cnfStyle w:val="100000000000" w:firstRow="1" w:lastRow="0" w:firstColumn="0" w:lastColumn="0" w:oddVBand="0" w:evenVBand="0" w:oddHBand="0" w:evenHBand="0" w:firstRowFirstColumn="0" w:firstRowLastColumn="0" w:lastRowFirstColumn="0" w:lastRowLastColumn="0"/>
        </w:trPr>
        <w:tc>
          <w:tcPr>
            <w:tcW w:w="1885" w:type="pct"/>
          </w:tcPr>
          <w:p w14:paraId="7E0EE835" w14:textId="77777777" w:rsidR="00BB43C6" w:rsidRDefault="00BB43C6" w:rsidP="00C93022">
            <w:r w:rsidRPr="00E00962">
              <w:t>Topic</w:t>
            </w:r>
          </w:p>
        </w:tc>
        <w:tc>
          <w:tcPr>
            <w:tcW w:w="2514" w:type="pct"/>
          </w:tcPr>
          <w:p w14:paraId="1CEF460D" w14:textId="77777777" w:rsidR="00BB43C6" w:rsidRDefault="00BB43C6" w:rsidP="00C93022">
            <w:r w:rsidRPr="00E00962">
              <w:t>Rationale</w:t>
            </w:r>
          </w:p>
        </w:tc>
      </w:tr>
      <w:tr w:rsidR="00BB43C6" w14:paraId="0BE80AE7" w14:textId="77777777" w:rsidTr="00CF0BE4">
        <w:tc>
          <w:tcPr>
            <w:tcW w:w="1885" w:type="pct"/>
          </w:tcPr>
          <w:p w14:paraId="340700AB" w14:textId="77777777" w:rsidR="00BB43C6" w:rsidRDefault="00BB43C6" w:rsidP="003D1D9C">
            <w:pPr>
              <w:spacing w:before="240"/>
            </w:pPr>
            <w:r w:rsidRPr="003E002D">
              <w:t>A preventative approach to needing acute aged care – a preventative health/economy wide approach</w:t>
            </w:r>
          </w:p>
        </w:tc>
        <w:tc>
          <w:tcPr>
            <w:tcW w:w="2514" w:type="pct"/>
          </w:tcPr>
          <w:p w14:paraId="0D8A40E3" w14:textId="636478BA" w:rsidR="00BB43C6" w:rsidRDefault="00763AA4" w:rsidP="003D1D9C">
            <w:pPr>
              <w:spacing w:before="240" w:afterAutospacing="0"/>
            </w:pPr>
            <w:r>
              <w:t xml:space="preserve">The government’s explicit policy is to </w:t>
            </w:r>
            <w:r w:rsidR="00255EBB">
              <w:t>promote the preference of</w:t>
            </w:r>
            <w:r w:rsidR="00B5000B" w:rsidRPr="003E1C2D">
              <w:t xml:space="preserve"> older people in Australia to remain living at home and maintain their independence and connections to community for as long as possible. </w:t>
            </w:r>
            <w:r w:rsidR="00255EBB">
              <w:t>While the sentiment is also</w:t>
            </w:r>
            <w:r w:rsidR="00B5000B" w:rsidRPr="003E1C2D">
              <w:t xml:space="preserve"> recognise</w:t>
            </w:r>
            <w:r w:rsidR="00255EBB">
              <w:t>d within the new Act</w:t>
            </w:r>
            <w:r w:rsidR="00B5000B" w:rsidRPr="003E1C2D">
              <w:t xml:space="preserve">, </w:t>
            </w:r>
            <w:r w:rsidR="00745DE5">
              <w:t>Australia is severely challenged in making this real</w:t>
            </w:r>
            <w:r w:rsidR="000C25B7">
              <w:t>. M</w:t>
            </w:r>
            <w:r w:rsidR="00B5000B" w:rsidRPr="003E1C2D">
              <w:t xml:space="preserve">ore </w:t>
            </w:r>
            <w:r w:rsidR="000C25B7" w:rsidRPr="003E1C2D">
              <w:t>c</w:t>
            </w:r>
            <w:r w:rsidR="000C25B7">
              <w:t>an</w:t>
            </w:r>
            <w:r w:rsidR="000C25B7" w:rsidRPr="003E1C2D">
              <w:t xml:space="preserve"> </w:t>
            </w:r>
            <w:r w:rsidR="00B5000B" w:rsidRPr="003E1C2D">
              <w:t>be done to support people to age in place, rather than enter residential aged care facilities, or hospital. The Office expects that keeping people at home for longer will pay both a human rights and an economic dividend. The Office wants to identify options to invest in preventative care, the likely costs of doing so and potential benefits to each of the hospital system, and aged care systems, at a whole-of-health system level.</w:t>
            </w:r>
          </w:p>
        </w:tc>
      </w:tr>
      <w:tr w:rsidR="00BB43C6" w14:paraId="490C89CF" w14:textId="77777777" w:rsidTr="00CF0BE4">
        <w:trPr>
          <w:cnfStyle w:val="000000010000" w:firstRow="0" w:lastRow="0" w:firstColumn="0" w:lastColumn="0" w:oddVBand="0" w:evenVBand="0" w:oddHBand="0" w:evenHBand="1" w:firstRowFirstColumn="0" w:firstRowLastColumn="0" w:lastRowFirstColumn="0" w:lastRowLastColumn="0"/>
        </w:trPr>
        <w:tc>
          <w:tcPr>
            <w:tcW w:w="1885" w:type="pct"/>
          </w:tcPr>
          <w:p w14:paraId="5FF6E980" w14:textId="77777777" w:rsidR="00BB43C6" w:rsidRDefault="00BB43C6" w:rsidP="0073076D">
            <w:pPr>
              <w:spacing w:before="120"/>
            </w:pPr>
            <w:r w:rsidRPr="003E002D">
              <w:t>Approach to co-designing Aboriginal and Torres Strait Islander Aged Care</w:t>
            </w:r>
          </w:p>
        </w:tc>
        <w:tc>
          <w:tcPr>
            <w:tcW w:w="2514" w:type="pct"/>
          </w:tcPr>
          <w:p w14:paraId="0D2EB7C0" w14:textId="77777777" w:rsidR="008C4B3C" w:rsidRPr="003E1C2D" w:rsidRDefault="008C4B3C" w:rsidP="008C4B3C">
            <w:pPr>
              <w:spacing w:before="120" w:afterAutospacing="0"/>
            </w:pPr>
            <w:r w:rsidRPr="003E1C2D">
              <w:t>Consistent with the recommendations of the Royal Commission</w:t>
            </w:r>
            <w:r>
              <w:t xml:space="preserve"> and</w:t>
            </w:r>
            <w:r w:rsidRPr="003E1C2D">
              <w:t xml:space="preserve"> the Report from the Interim First Nations Aged Care Commissioner, the Inspector-General sees it as essential that the government develops and delivers models of</w:t>
            </w:r>
            <w:r>
              <w:t xml:space="preserve"> aged</w:t>
            </w:r>
            <w:r w:rsidRPr="003E1C2D">
              <w:t xml:space="preserve"> care that are co-designed with Aboriginal and Torres Strait Islander people as a matter of urgency</w:t>
            </w:r>
            <w:r>
              <w:t>. This is</w:t>
            </w:r>
            <w:r w:rsidRPr="003E1C2D">
              <w:t xml:space="preserve"> </w:t>
            </w:r>
            <w:r>
              <w:t>aligned with</w:t>
            </w:r>
            <w:r w:rsidRPr="003E1C2D">
              <w:t xml:space="preserve"> the Priority Reform principles underpinning the National Agreement on Closing the Gap, which all governments have agreed to. </w:t>
            </w:r>
          </w:p>
          <w:p w14:paraId="35779E9C" w14:textId="17169302" w:rsidR="00BB43C6" w:rsidRDefault="00EF23E7" w:rsidP="00733D75">
            <w:pPr>
              <w:spacing w:before="120" w:afterAutospacing="0"/>
            </w:pPr>
            <w:r>
              <w:t>Together</w:t>
            </w:r>
            <w:r w:rsidR="008C4B3C" w:rsidRPr="003E1C2D">
              <w:t xml:space="preserve"> with the Interim First Nations Aged Care Commissioner, Aboriginal Community</w:t>
            </w:r>
            <w:r w:rsidR="008C4B3C">
              <w:t>-</w:t>
            </w:r>
            <w:r w:rsidR="008C4B3C" w:rsidRPr="003E1C2D">
              <w:t xml:space="preserve">Controlled Organisations and communities to determine </w:t>
            </w:r>
            <w:r>
              <w:t>the inalienable principles, and sequencing, required to co-design</w:t>
            </w:r>
            <w:r w:rsidRPr="003E1C2D">
              <w:t xml:space="preserve"> culturally safe and appropriate aged care services</w:t>
            </w:r>
            <w:r>
              <w:t xml:space="preserve"> for Aboriginal and Torres Strait Islander people</w:t>
            </w:r>
            <w:r w:rsidRPr="003E1C2D">
              <w:t>.</w:t>
            </w:r>
          </w:p>
        </w:tc>
      </w:tr>
    </w:tbl>
    <w:p w14:paraId="157E2BF8" w14:textId="6027D69C" w:rsidR="00E74152" w:rsidRPr="00F02E70" w:rsidRDefault="00E147A1" w:rsidP="00DE5032">
      <w:pPr>
        <w:pStyle w:val="Heading3"/>
      </w:pPr>
      <w:bookmarkStart w:id="46" w:name="_Toc206085591"/>
      <w:bookmarkStart w:id="47" w:name="_Toc206703320"/>
      <w:bookmarkStart w:id="48" w:name="_Toc207110573"/>
      <w:r w:rsidRPr="00F02E70">
        <w:lastRenderedPageBreak/>
        <w:t>Reliable safeguarding and oversight of the system</w:t>
      </w:r>
      <w:bookmarkEnd w:id="46"/>
      <w:bookmarkEnd w:id="47"/>
      <w:bookmarkEnd w:id="48"/>
    </w:p>
    <w:tbl>
      <w:tblPr>
        <w:tblStyle w:val="Basictable"/>
        <w:tblW w:w="5000" w:type="pct"/>
        <w:tblLook w:val="0420" w:firstRow="1" w:lastRow="0" w:firstColumn="0" w:lastColumn="0" w:noHBand="0" w:noVBand="1"/>
      </w:tblPr>
      <w:tblGrid>
        <w:gridCol w:w="3866"/>
        <w:gridCol w:w="5154"/>
      </w:tblGrid>
      <w:tr w:rsidR="00E74152" w14:paraId="261B9C2B" w14:textId="77777777" w:rsidTr="00CF0BE4">
        <w:trPr>
          <w:cnfStyle w:val="100000000000" w:firstRow="1" w:lastRow="0" w:firstColumn="0" w:lastColumn="0" w:oddVBand="0" w:evenVBand="0" w:oddHBand="0" w:evenHBand="0" w:firstRowFirstColumn="0" w:firstRowLastColumn="0" w:lastRowFirstColumn="0" w:lastRowLastColumn="0"/>
        </w:trPr>
        <w:tc>
          <w:tcPr>
            <w:tcW w:w="1885" w:type="pct"/>
          </w:tcPr>
          <w:p w14:paraId="246985B6" w14:textId="77777777" w:rsidR="00E74152" w:rsidRDefault="00E74152" w:rsidP="004450F2">
            <w:pPr>
              <w:spacing w:after="100"/>
            </w:pPr>
            <w:r w:rsidRPr="00E00962">
              <w:t>Topic</w:t>
            </w:r>
          </w:p>
        </w:tc>
        <w:tc>
          <w:tcPr>
            <w:tcW w:w="2514" w:type="pct"/>
          </w:tcPr>
          <w:p w14:paraId="7F3B6EEE" w14:textId="77777777" w:rsidR="00E74152" w:rsidRDefault="00E74152" w:rsidP="004450F2">
            <w:pPr>
              <w:spacing w:after="100"/>
            </w:pPr>
            <w:r w:rsidRPr="00E00962">
              <w:t>Rationale</w:t>
            </w:r>
          </w:p>
        </w:tc>
      </w:tr>
      <w:tr w:rsidR="00E74152" w14:paraId="767D5A52" w14:textId="77777777" w:rsidTr="00CF0BE4">
        <w:trPr>
          <w:trHeight w:val="1863"/>
        </w:trPr>
        <w:tc>
          <w:tcPr>
            <w:tcW w:w="1885" w:type="pct"/>
          </w:tcPr>
          <w:p w14:paraId="0C42F345" w14:textId="62713D43" w:rsidR="00E74152" w:rsidRDefault="00E74152" w:rsidP="004450F2">
            <w:pPr>
              <w:spacing w:before="120" w:after="100"/>
            </w:pPr>
            <w:r w:rsidRPr="00E6670C">
              <w:t>What does a human rights</w:t>
            </w:r>
            <w:r w:rsidR="005F2C6D">
              <w:t>-</w:t>
            </w:r>
            <w:r w:rsidRPr="00E6670C">
              <w:t>focussed and person</w:t>
            </w:r>
            <w:r w:rsidR="005F2C6D">
              <w:t>-</w:t>
            </w:r>
            <w:r w:rsidRPr="00E6670C">
              <w:t>centred complaints system look like?</w:t>
            </w:r>
          </w:p>
        </w:tc>
        <w:tc>
          <w:tcPr>
            <w:tcW w:w="2514" w:type="pct"/>
          </w:tcPr>
          <w:p w14:paraId="25317C61" w14:textId="67BE00A1" w:rsidR="00E74152" w:rsidRDefault="00B87558" w:rsidP="003D1D9C">
            <w:pPr>
              <w:spacing w:before="120" w:afterAutospacing="0"/>
            </w:pPr>
            <w:r>
              <w:t>T</w:t>
            </w:r>
            <w:r w:rsidRPr="008A2F2C">
              <w:t>he broader complaints framework will be critical to the transition to rights-based</w:t>
            </w:r>
            <w:r>
              <w:t>,</w:t>
            </w:r>
            <w:r w:rsidRPr="008A2F2C">
              <w:t xml:space="preserve"> person-centred care. </w:t>
            </w:r>
            <w:r>
              <w:t xml:space="preserve">The Inspector-General will seek to understand what features make a person-centred, human </w:t>
            </w:r>
            <w:r w:rsidR="005846F2">
              <w:t>rights-</w:t>
            </w:r>
            <w:r>
              <w:t>focussed complaints system work well and where this has been realised in other sectors or other parts of the world.</w:t>
            </w:r>
            <w:r w:rsidR="000F68FC">
              <w:t xml:space="preserve"> This will feed directly into the </w:t>
            </w:r>
            <w:proofErr w:type="gramStart"/>
            <w:r w:rsidR="000F68FC">
              <w:t>manner in which</w:t>
            </w:r>
            <w:proofErr w:type="gramEnd"/>
            <w:r w:rsidR="000F68FC">
              <w:t xml:space="preserve"> the Office conducts its systemic oversight of the Commonwealth’s management of complaints about aged care.</w:t>
            </w:r>
          </w:p>
        </w:tc>
      </w:tr>
    </w:tbl>
    <w:p w14:paraId="0706CC89" w14:textId="77777777" w:rsidR="004450F2" w:rsidRDefault="004450F2" w:rsidP="005D434A">
      <w:pPr>
        <w:pStyle w:val="Heading2"/>
        <w:numPr>
          <w:ilvl w:val="0"/>
          <w:numId w:val="0"/>
        </w:numPr>
        <w:sectPr w:rsidR="004450F2" w:rsidSect="00485DE2">
          <w:headerReference w:type="default" r:id="rId28"/>
          <w:type w:val="continuous"/>
          <w:pgSz w:w="11900" w:h="16840" w:code="9"/>
          <w:pgMar w:top="1440" w:right="1440" w:bottom="1440" w:left="1440" w:header="709" w:footer="510" w:gutter="0"/>
          <w:cols w:space="708"/>
          <w:titlePg/>
          <w:docGrid w:linePitch="360"/>
        </w:sectPr>
      </w:pPr>
      <w:bookmarkStart w:id="49" w:name="_Toc206703321"/>
      <w:bookmarkStart w:id="50" w:name="_Toc206085592"/>
      <w:bookmarkStart w:id="51" w:name="_Toc206703323"/>
      <w:bookmarkEnd w:id="49"/>
    </w:p>
    <w:p w14:paraId="3F2CB0D4" w14:textId="3DEFAEE7" w:rsidR="00F84686" w:rsidRPr="00F8665A" w:rsidRDefault="00F84686" w:rsidP="005D434A">
      <w:pPr>
        <w:pStyle w:val="Heading2"/>
      </w:pPr>
      <w:bookmarkStart w:id="52" w:name="_Toc206750422"/>
      <w:bookmarkStart w:id="53" w:name="_Toc207110574"/>
      <w:r w:rsidRPr="00F8665A">
        <w:lastRenderedPageBreak/>
        <w:t>Monitoring program</w:t>
      </w:r>
      <w:bookmarkEnd w:id="50"/>
      <w:bookmarkEnd w:id="51"/>
      <w:bookmarkEnd w:id="52"/>
      <w:bookmarkEnd w:id="53"/>
    </w:p>
    <w:p w14:paraId="30888D48" w14:textId="77777777" w:rsidR="00F84686" w:rsidRDefault="00F84686" w:rsidP="00F84686">
      <w:pPr>
        <w:rPr>
          <w:rFonts w:cstheme="minorHAnsi"/>
          <w:szCs w:val="22"/>
        </w:rPr>
      </w:pPr>
      <w:r w:rsidRPr="00231DD0">
        <w:rPr>
          <w:lang w:val="en-GB"/>
        </w:rPr>
        <w:t xml:space="preserve">The Inspector-General’s monitoring program </w:t>
      </w:r>
      <w:r w:rsidRPr="0063383E">
        <w:rPr>
          <w:rFonts w:cstheme="minorHAnsi"/>
          <w:szCs w:val="22"/>
        </w:rPr>
        <w:t xml:space="preserve">supports the </w:t>
      </w:r>
      <w:r>
        <w:rPr>
          <w:rFonts w:cstheme="minorHAnsi"/>
          <w:szCs w:val="22"/>
        </w:rPr>
        <w:t>Office’s oversight</w:t>
      </w:r>
      <w:r w:rsidRPr="0063383E">
        <w:rPr>
          <w:rFonts w:cstheme="minorHAnsi"/>
          <w:szCs w:val="22"/>
        </w:rPr>
        <w:t xml:space="preserve"> and scrutin</w:t>
      </w:r>
      <w:r>
        <w:rPr>
          <w:rFonts w:cstheme="minorHAnsi"/>
          <w:szCs w:val="22"/>
        </w:rPr>
        <w:t>y of</w:t>
      </w:r>
      <w:r w:rsidRPr="0063383E">
        <w:rPr>
          <w:rFonts w:cstheme="minorHAnsi"/>
          <w:szCs w:val="22"/>
        </w:rPr>
        <w:t xml:space="preserve"> the government’s administration, regulation and funding of aged care</w:t>
      </w:r>
      <w:r>
        <w:rPr>
          <w:rFonts w:cstheme="minorHAnsi"/>
          <w:szCs w:val="22"/>
        </w:rPr>
        <w:t>, with a view to establishing a broad intelligence base to assist with</w:t>
      </w:r>
      <w:r w:rsidRPr="00231DD0">
        <w:rPr>
          <w:lang w:val="en-GB"/>
        </w:rPr>
        <w:t xml:space="preserve"> identifying risks, emerging trends, and systemic issues across the aged care system.</w:t>
      </w:r>
    </w:p>
    <w:p w14:paraId="01A0DBF3" w14:textId="77777777" w:rsidR="00F84686" w:rsidRDefault="00F84686" w:rsidP="00F84686">
      <w:r>
        <w:rPr>
          <w:rFonts w:cstheme="minorHAnsi"/>
          <w:szCs w:val="22"/>
        </w:rPr>
        <w:t xml:space="preserve">The monitoring program is </w:t>
      </w:r>
      <w:r w:rsidRPr="00231DD0">
        <w:rPr>
          <w:lang w:val="en-GB"/>
        </w:rPr>
        <w:t xml:space="preserve">informed by data and information drawn from across the aged care sector, the media and other government bodies. </w:t>
      </w:r>
    </w:p>
    <w:p w14:paraId="1322B61F" w14:textId="1BE21E07" w:rsidR="00F84686" w:rsidRDefault="00F84686" w:rsidP="00F84686">
      <w:r>
        <w:t>In addition to the</w:t>
      </w:r>
      <w:r w:rsidRPr="008E0B79">
        <w:t xml:space="preserve"> ongoing monitoring and environmental scanning of the aged care system, specific efforts will be dedicated to the following activities</w:t>
      </w:r>
      <w:r>
        <w:t>:</w:t>
      </w:r>
    </w:p>
    <w:p w14:paraId="682EA94D" w14:textId="4057348F" w:rsidR="00301472" w:rsidRPr="0045317D" w:rsidRDefault="0045317D" w:rsidP="00DE5032">
      <w:pPr>
        <w:pStyle w:val="Heading3"/>
      </w:pPr>
      <w:bookmarkStart w:id="54" w:name="_Toc206085593"/>
      <w:bookmarkStart w:id="55" w:name="_Toc206703324"/>
      <w:bookmarkStart w:id="56" w:name="_Toc207110575"/>
      <w:r w:rsidRPr="00A94FE4">
        <w:t>An equitable and sustainable aged care system</w:t>
      </w:r>
      <w:bookmarkEnd w:id="54"/>
      <w:bookmarkEnd w:id="55"/>
      <w:bookmarkEnd w:id="56"/>
    </w:p>
    <w:tbl>
      <w:tblPr>
        <w:tblStyle w:val="Basictable"/>
        <w:tblW w:w="5000" w:type="pct"/>
        <w:tblLook w:val="0420" w:firstRow="1" w:lastRow="0" w:firstColumn="0" w:lastColumn="0" w:noHBand="0" w:noVBand="1"/>
      </w:tblPr>
      <w:tblGrid>
        <w:gridCol w:w="3402"/>
        <w:gridCol w:w="5618"/>
      </w:tblGrid>
      <w:tr w:rsidR="00301472" w14:paraId="4F3683E6" w14:textId="77777777" w:rsidTr="00CF0BE4">
        <w:trPr>
          <w:cnfStyle w:val="100000000000" w:firstRow="1" w:lastRow="0" w:firstColumn="0" w:lastColumn="0" w:oddVBand="0" w:evenVBand="0" w:oddHBand="0" w:evenHBand="0" w:firstRowFirstColumn="0" w:firstRowLastColumn="0" w:lastRowFirstColumn="0" w:lastRowLastColumn="0"/>
        </w:trPr>
        <w:tc>
          <w:tcPr>
            <w:tcW w:w="1886" w:type="pct"/>
          </w:tcPr>
          <w:p w14:paraId="6121DF24" w14:textId="77777777" w:rsidR="00301472" w:rsidRDefault="00301472" w:rsidP="00C93022">
            <w:r w:rsidRPr="00E00962">
              <w:t>Topic</w:t>
            </w:r>
          </w:p>
        </w:tc>
        <w:tc>
          <w:tcPr>
            <w:tcW w:w="3114" w:type="pct"/>
          </w:tcPr>
          <w:p w14:paraId="6B7A55B2" w14:textId="77777777" w:rsidR="00301472" w:rsidRDefault="00301472" w:rsidP="00C93022">
            <w:r w:rsidRPr="00E00962">
              <w:t>Rationale</w:t>
            </w:r>
          </w:p>
        </w:tc>
      </w:tr>
      <w:tr w:rsidR="00301472" w14:paraId="5A9E13A4" w14:textId="77777777" w:rsidTr="00CF0BE4">
        <w:tc>
          <w:tcPr>
            <w:tcW w:w="1886" w:type="pct"/>
          </w:tcPr>
          <w:p w14:paraId="69420555" w14:textId="77777777" w:rsidR="003C33D9" w:rsidRPr="0048230B" w:rsidRDefault="003C33D9" w:rsidP="003C33D9">
            <w:pPr>
              <w:spacing w:before="120"/>
              <w:rPr>
                <w:b/>
                <w:bCs/>
                <w:color w:val="452669" w:themeColor="accent1"/>
                <w:sz w:val="26"/>
                <w:szCs w:val="26"/>
              </w:rPr>
            </w:pPr>
            <w:r w:rsidRPr="003C33D9">
              <w:t>The introduction of co-payments for Support at Home: Impacts on rights and potential unintended consequences.</w:t>
            </w:r>
          </w:p>
          <w:p w14:paraId="796F00AB" w14:textId="5018FA2A" w:rsidR="00301472" w:rsidRDefault="00301472" w:rsidP="00C93022"/>
        </w:tc>
        <w:tc>
          <w:tcPr>
            <w:tcW w:w="3114" w:type="pct"/>
          </w:tcPr>
          <w:p w14:paraId="447EF952" w14:textId="77777777" w:rsidR="00594B80" w:rsidRDefault="00594B80" w:rsidP="00594B80">
            <w:pPr>
              <w:spacing w:before="120" w:afterAutospacing="0"/>
            </w:pPr>
            <w:r>
              <w:t xml:space="preserve">The Office has consistently heard concerns about the way in which co-payments under Support at Home will be implemented, and the potential for those with limited means or </w:t>
            </w:r>
            <w:proofErr w:type="gramStart"/>
            <w:r>
              <w:t>particular vulnerabilities</w:t>
            </w:r>
            <w:proofErr w:type="gramEnd"/>
            <w:r>
              <w:t xml:space="preserve"> to forego care.</w:t>
            </w:r>
          </w:p>
          <w:p w14:paraId="4EC0EF03" w14:textId="5C530649" w:rsidR="00301472" w:rsidRDefault="00594B80" w:rsidP="00733D75">
            <w:pPr>
              <w:spacing w:before="120" w:afterAutospacing="0"/>
            </w:pPr>
            <w:r>
              <w:t>The Office will look to closely monitor a broad range of information, as it becomes available, with the aim of identifying any impacts co-payments may be having on people receiving Support at Home.</w:t>
            </w:r>
          </w:p>
        </w:tc>
      </w:tr>
      <w:tr w:rsidR="00301472" w14:paraId="0FB9D994" w14:textId="77777777" w:rsidTr="00CF0BE4">
        <w:trPr>
          <w:cnfStyle w:val="000000010000" w:firstRow="0" w:lastRow="0" w:firstColumn="0" w:lastColumn="0" w:oddVBand="0" w:evenVBand="0" w:oddHBand="0" w:evenHBand="1" w:firstRowFirstColumn="0" w:firstRowLastColumn="0" w:lastRowFirstColumn="0" w:lastRowLastColumn="0"/>
        </w:trPr>
        <w:tc>
          <w:tcPr>
            <w:tcW w:w="1886" w:type="pct"/>
          </w:tcPr>
          <w:p w14:paraId="7D645457" w14:textId="77777777" w:rsidR="00301472" w:rsidRDefault="00301472" w:rsidP="00EA3B5F">
            <w:pPr>
              <w:spacing w:before="120"/>
            </w:pPr>
            <w:r w:rsidRPr="00442A48">
              <w:t>Waitlist timeframes for assessment and access to aged care</w:t>
            </w:r>
          </w:p>
        </w:tc>
        <w:tc>
          <w:tcPr>
            <w:tcW w:w="3114" w:type="pct"/>
          </w:tcPr>
          <w:p w14:paraId="413E08DD" w14:textId="77777777" w:rsidR="001E083E" w:rsidRDefault="001E083E" w:rsidP="001E083E">
            <w:pPr>
              <w:spacing w:before="120" w:afterAutospacing="0"/>
            </w:pPr>
            <w:r>
              <w:t xml:space="preserve">The Office will actively monitor the introduction of the Single Assessment System including the impact on wait times for assessments and access to aged care. </w:t>
            </w:r>
          </w:p>
          <w:p w14:paraId="3FFE095C" w14:textId="03E6D68A" w:rsidR="00301472" w:rsidRDefault="001E083E" w:rsidP="00733D75">
            <w:pPr>
              <w:spacing w:before="120" w:afterAutospacing="0"/>
            </w:pPr>
            <w:r>
              <w:t>The Office will look at the various sources of waitlist data across the full aged care system, including assessment, and access to home and community care as well as residential and respite care. Data pertaining to the broader Single Assessment Service will also be monitored to determine if the introduction of this program is achieving its stated aims of improving the overall assessment process.</w:t>
            </w:r>
          </w:p>
        </w:tc>
      </w:tr>
      <w:tr w:rsidR="00301472" w14:paraId="1AE4ED1A" w14:textId="77777777" w:rsidTr="00CF0BE4">
        <w:tc>
          <w:tcPr>
            <w:tcW w:w="1886" w:type="pct"/>
          </w:tcPr>
          <w:p w14:paraId="67DCC8D2" w14:textId="1341BC6D" w:rsidR="00301472" w:rsidRPr="00442A48" w:rsidRDefault="00301472" w:rsidP="003D1D9C">
            <w:pPr>
              <w:spacing w:before="120"/>
            </w:pPr>
            <w:r w:rsidRPr="00442A48">
              <w:t xml:space="preserve">The Interface between the National Disability Insurance Scheme </w:t>
            </w:r>
            <w:r w:rsidR="00E464A3">
              <w:t xml:space="preserve">(NDIS) </w:t>
            </w:r>
            <w:r w:rsidRPr="00442A48">
              <w:t>and aged care</w:t>
            </w:r>
          </w:p>
        </w:tc>
        <w:tc>
          <w:tcPr>
            <w:tcW w:w="3114" w:type="pct"/>
          </w:tcPr>
          <w:p w14:paraId="7CD75BFD" w14:textId="77777777" w:rsidR="001403D7" w:rsidRDefault="001403D7" w:rsidP="001403D7">
            <w:pPr>
              <w:spacing w:before="120" w:afterAutospacing="0"/>
            </w:pPr>
            <w:r>
              <w:t>Through recent consultations, as well as ongoing engagement with people with lived experience, the Office is acutely aware of the disparity between disability-specific support that is available under NDIS, that may then be lost when people transition to aged care and the serious impacts this may have to their lives.</w:t>
            </w:r>
          </w:p>
          <w:p w14:paraId="5723FE70" w14:textId="6CF0EB66" w:rsidR="00301472" w:rsidRDefault="001403D7" w:rsidP="00733D75">
            <w:pPr>
              <w:spacing w:before="120" w:afterAutospacing="0"/>
            </w:pPr>
            <w:r>
              <w:t>The Office will seek to actively monitor these transitions and investigate the availability of data with the intention of undertaking more targeted activities in future if required.</w:t>
            </w:r>
          </w:p>
        </w:tc>
      </w:tr>
    </w:tbl>
    <w:p w14:paraId="6ED61ACA" w14:textId="22ED5D14" w:rsidR="00C2392B" w:rsidRDefault="003310D1" w:rsidP="00DE5032">
      <w:pPr>
        <w:pStyle w:val="Heading3"/>
      </w:pPr>
      <w:bookmarkStart w:id="57" w:name="_Toc206085594"/>
      <w:bookmarkStart w:id="58" w:name="_Toc206703325"/>
      <w:bookmarkStart w:id="59" w:name="_Toc207110576"/>
      <w:r w:rsidRPr="00A94FE4">
        <w:lastRenderedPageBreak/>
        <w:t>Reliable safeguarding and oversight of the system</w:t>
      </w:r>
      <w:bookmarkEnd w:id="57"/>
      <w:bookmarkEnd w:id="58"/>
      <w:bookmarkEnd w:id="59"/>
    </w:p>
    <w:tbl>
      <w:tblPr>
        <w:tblStyle w:val="Basictable"/>
        <w:tblW w:w="5000" w:type="pct"/>
        <w:tblLook w:val="0420" w:firstRow="1" w:lastRow="0" w:firstColumn="0" w:lastColumn="0" w:noHBand="0" w:noVBand="1"/>
      </w:tblPr>
      <w:tblGrid>
        <w:gridCol w:w="3866"/>
        <w:gridCol w:w="5154"/>
      </w:tblGrid>
      <w:tr w:rsidR="0032346A" w14:paraId="4E14CE5D" w14:textId="77777777" w:rsidTr="00341AD1">
        <w:trPr>
          <w:cnfStyle w:val="100000000000" w:firstRow="1" w:lastRow="0" w:firstColumn="0" w:lastColumn="0" w:oddVBand="0" w:evenVBand="0" w:oddHBand="0" w:evenHBand="0" w:firstRowFirstColumn="0" w:firstRowLastColumn="0" w:lastRowFirstColumn="0" w:lastRowLastColumn="0"/>
        </w:trPr>
        <w:tc>
          <w:tcPr>
            <w:tcW w:w="2143" w:type="pct"/>
          </w:tcPr>
          <w:p w14:paraId="0F7E43B7" w14:textId="77777777" w:rsidR="0032346A" w:rsidRDefault="0032346A" w:rsidP="003D1D9C">
            <w:pPr>
              <w:spacing w:before="120"/>
            </w:pPr>
            <w:r w:rsidRPr="00E00962">
              <w:t>Topic</w:t>
            </w:r>
          </w:p>
        </w:tc>
        <w:tc>
          <w:tcPr>
            <w:tcW w:w="2857" w:type="pct"/>
          </w:tcPr>
          <w:p w14:paraId="79F8850A" w14:textId="77777777" w:rsidR="0032346A" w:rsidRDefault="0032346A" w:rsidP="00C93022">
            <w:r w:rsidRPr="00E00962">
              <w:t>Rationale</w:t>
            </w:r>
          </w:p>
        </w:tc>
      </w:tr>
      <w:tr w:rsidR="0032346A" w14:paraId="00F5C4A4" w14:textId="77777777" w:rsidTr="00341AD1">
        <w:tc>
          <w:tcPr>
            <w:tcW w:w="2143" w:type="pct"/>
          </w:tcPr>
          <w:p w14:paraId="0F3D97D6" w14:textId="14766B7F" w:rsidR="0032346A" w:rsidRDefault="0032346A" w:rsidP="003D1D9C">
            <w:pPr>
              <w:spacing w:before="120"/>
            </w:pPr>
            <w:r w:rsidRPr="009078F5">
              <w:t xml:space="preserve">Complaints </w:t>
            </w:r>
            <w:r w:rsidR="00647F25">
              <w:t>o</w:t>
            </w:r>
            <w:r w:rsidRPr="009078F5">
              <w:t>versight: E</w:t>
            </w:r>
            <w:r w:rsidR="00CA31FF">
              <w:t>stablishing and e</w:t>
            </w:r>
            <w:r w:rsidRPr="009078F5">
              <w:t xml:space="preserve">mbedding our </w:t>
            </w:r>
            <w:r w:rsidR="00CA31FF">
              <w:t xml:space="preserve">ongoing </w:t>
            </w:r>
            <w:r w:rsidR="004905C6">
              <w:t>monitoring</w:t>
            </w:r>
            <w:r w:rsidR="0067547B">
              <w:t xml:space="preserve"> of</w:t>
            </w:r>
            <w:r w:rsidR="004905C6">
              <w:t xml:space="preserve"> the Commonwealth’s complaints management process across aged care</w:t>
            </w:r>
          </w:p>
        </w:tc>
        <w:tc>
          <w:tcPr>
            <w:tcW w:w="2857" w:type="pct"/>
          </w:tcPr>
          <w:p w14:paraId="26915614" w14:textId="77777777" w:rsidR="00325EF9" w:rsidRDefault="00325EF9" w:rsidP="00325EF9">
            <w:pPr>
              <w:spacing w:before="120" w:afterAutospacing="0"/>
            </w:pPr>
            <w:r>
              <w:t>Oversight of the Commonwealth’s complaints management processes across the aged care system is a key object of the IGAC Act.</w:t>
            </w:r>
          </w:p>
          <w:p w14:paraId="37D4FCDF" w14:textId="7C7A00E2" w:rsidR="0032346A" w:rsidRDefault="00325EF9" w:rsidP="00733D75">
            <w:pPr>
              <w:spacing w:before="120" w:afterAutospacing="0"/>
            </w:pPr>
            <w:r>
              <w:t xml:space="preserve">Complaints oversight will provide the Office with ongoing intelligence and will also support transparent and accountable reporting on the effectiveness of complaints management processes. The Office will seek to identify relevant data sources required to inform and embed this capability, including </w:t>
            </w:r>
            <w:r w:rsidR="00EF7792">
              <w:t xml:space="preserve">drawing </w:t>
            </w:r>
            <w:r w:rsidR="005302DC">
              <w:t>upon the work</w:t>
            </w:r>
            <w:r w:rsidR="0067547B">
              <w:t xml:space="preserve"> we</w:t>
            </w:r>
            <w:r w:rsidR="005302DC">
              <w:t xml:space="preserve"> will undertake at ‘3.3’ above, </w:t>
            </w:r>
            <w:r>
              <w:t>in relation to delivering a rights-focus</w:t>
            </w:r>
            <w:r w:rsidR="00C73308">
              <w:t>s</w:t>
            </w:r>
            <w:r>
              <w:t>ed complaints system.</w:t>
            </w:r>
          </w:p>
        </w:tc>
      </w:tr>
      <w:tr w:rsidR="0032346A" w14:paraId="119D11B1" w14:textId="77777777" w:rsidTr="00341AD1">
        <w:trPr>
          <w:cnfStyle w:val="000000010000" w:firstRow="0" w:lastRow="0" w:firstColumn="0" w:lastColumn="0" w:oddVBand="0" w:evenVBand="0" w:oddHBand="0" w:evenHBand="1" w:firstRowFirstColumn="0" w:firstRowLastColumn="0" w:lastRowFirstColumn="0" w:lastRowLastColumn="0"/>
        </w:trPr>
        <w:tc>
          <w:tcPr>
            <w:tcW w:w="2143" w:type="pct"/>
          </w:tcPr>
          <w:p w14:paraId="6F8581F2" w14:textId="42F3AE0D" w:rsidR="0032346A" w:rsidRDefault="0032346A" w:rsidP="003D1D9C">
            <w:pPr>
              <w:spacing w:before="120"/>
            </w:pPr>
            <w:r w:rsidRPr="009078F5">
              <w:t>Oversight and analysis of the operation of the Serious Incident Response Scheme</w:t>
            </w:r>
            <w:r w:rsidR="008A6352">
              <w:t xml:space="preserve"> (SIRS)</w:t>
            </w:r>
          </w:p>
        </w:tc>
        <w:tc>
          <w:tcPr>
            <w:tcW w:w="2857" w:type="pct"/>
          </w:tcPr>
          <w:p w14:paraId="24D390BD" w14:textId="77777777" w:rsidR="00141EBA" w:rsidRDefault="00141EBA" w:rsidP="00141EBA">
            <w:pPr>
              <w:spacing w:before="120" w:afterAutospacing="0"/>
            </w:pPr>
            <w:r>
              <w:t>As part of the Memorandum of Understanding with the Aged Care Quality and Safety Commission (ACQSC), the Office receives regular data on SIRS reported by providers.</w:t>
            </w:r>
          </w:p>
          <w:p w14:paraId="283B9A59" w14:textId="30A2A9C0" w:rsidR="0032346A" w:rsidRDefault="00141EBA" w:rsidP="00733D75">
            <w:pPr>
              <w:spacing w:before="120" w:afterAutospacing="0"/>
            </w:pPr>
            <w:r>
              <w:t xml:space="preserve">The Office uses this data to inform its ongoing oversight of the administration and regulation of aged care, including developing a deep understanding of the main areas where SIRS are being reported as well as looking for systemic patterns and emerging issues in the data. </w:t>
            </w:r>
            <w:r w:rsidR="00113422">
              <w:t>The Office will continue to examine this data to</w:t>
            </w:r>
            <w:r w:rsidR="0067547B">
              <w:t xml:space="preserve"> </w:t>
            </w:r>
            <w:r w:rsidR="00113422">
              <w:t>measure</w:t>
            </w:r>
            <w:r>
              <w:t xml:space="preserve"> the </w:t>
            </w:r>
            <w:r w:rsidR="004D2E1F">
              <w:t xml:space="preserve">effectiveness of </w:t>
            </w:r>
            <w:r>
              <w:t>actions undertaken to address SIRS</w:t>
            </w:r>
            <w:r w:rsidR="004D2E1F">
              <w:t xml:space="preserve"> at the systemic level,</w:t>
            </w:r>
            <w:r>
              <w:t xml:space="preserve"> and whether the Scheme provides an appropriate mechanism for compliance and improvement in the provision of aged care is also a key focus for this oversight function.</w:t>
            </w:r>
          </w:p>
        </w:tc>
      </w:tr>
    </w:tbl>
    <w:p w14:paraId="18EEE74C" w14:textId="77777777" w:rsidR="000E4404" w:rsidRDefault="000E4404" w:rsidP="003310D1">
      <w:pPr>
        <w:sectPr w:rsidR="000E4404" w:rsidSect="00485DE2">
          <w:headerReference w:type="default" r:id="rId29"/>
          <w:pgSz w:w="11900" w:h="16840" w:code="9"/>
          <w:pgMar w:top="1440" w:right="1440" w:bottom="1440" w:left="1440" w:header="709" w:footer="510" w:gutter="0"/>
          <w:cols w:space="708"/>
          <w:titlePg/>
          <w:docGrid w:linePitch="360"/>
        </w:sectPr>
      </w:pPr>
    </w:p>
    <w:p w14:paraId="2DF1411C" w14:textId="1589E8C5" w:rsidR="00930098" w:rsidRPr="006966BD" w:rsidRDefault="00930098" w:rsidP="005D434A">
      <w:pPr>
        <w:pStyle w:val="Heading2"/>
      </w:pPr>
      <w:bookmarkStart w:id="60" w:name="_Toc206085595"/>
      <w:bookmarkStart w:id="61" w:name="_Toc206703326"/>
      <w:bookmarkStart w:id="62" w:name="_Toc206750423"/>
      <w:bookmarkStart w:id="63" w:name="_Toc207110577"/>
      <w:r w:rsidRPr="006966BD">
        <w:lastRenderedPageBreak/>
        <w:t>Looking forward</w:t>
      </w:r>
      <w:bookmarkEnd w:id="60"/>
      <w:bookmarkEnd w:id="61"/>
      <w:bookmarkEnd w:id="62"/>
      <w:bookmarkEnd w:id="63"/>
    </w:p>
    <w:p w14:paraId="1B5B8A25" w14:textId="2CBB2ED6" w:rsidR="00930098" w:rsidRDefault="00930098" w:rsidP="00930098">
      <w:pPr>
        <w:spacing w:before="240"/>
        <w:rPr>
          <w:szCs w:val="22"/>
        </w:rPr>
      </w:pPr>
      <w:r>
        <w:rPr>
          <w:szCs w:val="22"/>
        </w:rPr>
        <w:t xml:space="preserve">The following issues were identified by both the Office and stakeholders as critical to realising the Statement of Rights codified in the new </w:t>
      </w:r>
      <w:r w:rsidRPr="0089566C">
        <w:rPr>
          <w:i/>
          <w:iCs/>
          <w:szCs w:val="22"/>
        </w:rPr>
        <w:t>Aged Care Act 2024</w:t>
      </w:r>
      <w:r>
        <w:rPr>
          <w:szCs w:val="22"/>
        </w:rPr>
        <w:t>. Although these issues have not been slated for formal examination in 2025–26</w:t>
      </w:r>
      <w:r w:rsidRPr="00EA7B4F">
        <w:rPr>
          <w:szCs w:val="22"/>
        </w:rPr>
        <w:t xml:space="preserve"> the </w:t>
      </w:r>
      <w:r>
        <w:rPr>
          <w:szCs w:val="22"/>
        </w:rPr>
        <w:t>Inspector-General will maintain a keen interest in their development</w:t>
      </w:r>
      <w:r w:rsidR="00A51D7A">
        <w:rPr>
          <w:szCs w:val="22"/>
        </w:rPr>
        <w:t xml:space="preserve">, with a view to their subsequent commencement as </w:t>
      </w:r>
      <w:r w:rsidR="0094649C">
        <w:rPr>
          <w:szCs w:val="22"/>
        </w:rPr>
        <w:t>‘p</w:t>
      </w:r>
      <w:r w:rsidR="00A51D7A">
        <w:rPr>
          <w:szCs w:val="22"/>
        </w:rPr>
        <w:t>rojects</w:t>
      </w:r>
      <w:r w:rsidR="0094649C">
        <w:rPr>
          <w:szCs w:val="22"/>
        </w:rPr>
        <w:t xml:space="preserve">’ (as distinct </w:t>
      </w:r>
      <w:r w:rsidR="0067547B">
        <w:rPr>
          <w:szCs w:val="22"/>
        </w:rPr>
        <w:t xml:space="preserve">from </w:t>
      </w:r>
      <w:r w:rsidR="0094649C">
        <w:rPr>
          <w:szCs w:val="22"/>
        </w:rPr>
        <w:t>issues that are simply ‘monitored</w:t>
      </w:r>
      <w:r w:rsidR="006C2A7E">
        <w:rPr>
          <w:szCs w:val="22"/>
        </w:rPr>
        <w:t>’)</w:t>
      </w:r>
      <w:r w:rsidR="00A51D7A">
        <w:rPr>
          <w:szCs w:val="22"/>
        </w:rPr>
        <w:t xml:space="preserve"> by the Office beyond 2025</w:t>
      </w:r>
      <w:r w:rsidR="006A3B0F">
        <w:rPr>
          <w:szCs w:val="22"/>
        </w:rPr>
        <w:t>–</w:t>
      </w:r>
      <w:r w:rsidR="00A51D7A">
        <w:rPr>
          <w:szCs w:val="22"/>
        </w:rPr>
        <w:t>26</w:t>
      </w:r>
      <w:r>
        <w:rPr>
          <w:szCs w:val="22"/>
        </w:rPr>
        <w:t xml:space="preserve">. </w:t>
      </w:r>
    </w:p>
    <w:p w14:paraId="22E7815F" w14:textId="42FE106A" w:rsidR="009E4F05" w:rsidRDefault="009E4F05" w:rsidP="00DE5032">
      <w:pPr>
        <w:pStyle w:val="Heading3"/>
      </w:pPr>
      <w:bookmarkStart w:id="64" w:name="_Toc206085596"/>
      <w:bookmarkStart w:id="65" w:name="_Toc206703327"/>
      <w:bookmarkStart w:id="66" w:name="_Toc207110578"/>
      <w:r w:rsidRPr="00A94FE4">
        <w:t>Human rights</w:t>
      </w:r>
      <w:bookmarkEnd w:id="64"/>
      <w:bookmarkEnd w:id="65"/>
      <w:bookmarkEnd w:id="66"/>
    </w:p>
    <w:tbl>
      <w:tblPr>
        <w:tblStyle w:val="Basictable"/>
        <w:tblW w:w="5000" w:type="pct"/>
        <w:tblLook w:val="0420" w:firstRow="1" w:lastRow="0" w:firstColumn="0" w:lastColumn="0" w:noHBand="0" w:noVBand="1"/>
      </w:tblPr>
      <w:tblGrid>
        <w:gridCol w:w="3866"/>
        <w:gridCol w:w="5154"/>
      </w:tblGrid>
      <w:tr w:rsidR="00365D5B" w14:paraId="613E6B8B" w14:textId="77777777" w:rsidTr="00CF0BE4">
        <w:trPr>
          <w:cnfStyle w:val="100000000000" w:firstRow="1" w:lastRow="0" w:firstColumn="0" w:lastColumn="0" w:oddVBand="0" w:evenVBand="0" w:oddHBand="0" w:evenHBand="0" w:firstRowFirstColumn="0" w:firstRowLastColumn="0" w:lastRowFirstColumn="0" w:lastRowLastColumn="0"/>
        </w:trPr>
        <w:tc>
          <w:tcPr>
            <w:tcW w:w="1885" w:type="pct"/>
          </w:tcPr>
          <w:p w14:paraId="3B1F08BD" w14:textId="77777777" w:rsidR="00365D5B" w:rsidRDefault="00365D5B" w:rsidP="00C93022">
            <w:r w:rsidRPr="00E00962">
              <w:t>Topic</w:t>
            </w:r>
          </w:p>
        </w:tc>
        <w:tc>
          <w:tcPr>
            <w:tcW w:w="2514" w:type="pct"/>
          </w:tcPr>
          <w:p w14:paraId="309F103B" w14:textId="77777777" w:rsidR="00365D5B" w:rsidRDefault="00365D5B" w:rsidP="00C93022">
            <w:r w:rsidRPr="00E00962">
              <w:t>Rationale</w:t>
            </w:r>
          </w:p>
        </w:tc>
      </w:tr>
      <w:tr w:rsidR="00365D5B" w14:paraId="29A3972B" w14:textId="77777777" w:rsidTr="00CF0BE4">
        <w:tc>
          <w:tcPr>
            <w:tcW w:w="1885" w:type="pct"/>
          </w:tcPr>
          <w:p w14:paraId="32B0919B" w14:textId="65840EF6" w:rsidR="00365D5B" w:rsidRDefault="00365D5B" w:rsidP="005C57CA">
            <w:pPr>
              <w:spacing w:before="120"/>
            </w:pPr>
            <w:r w:rsidRPr="003531C0">
              <w:t xml:space="preserve">Embedding </w:t>
            </w:r>
            <w:r w:rsidR="00647F25">
              <w:t>h</w:t>
            </w:r>
            <w:r w:rsidRPr="003531C0">
              <w:t xml:space="preserve">uman </w:t>
            </w:r>
            <w:r w:rsidR="00647F25">
              <w:t>r</w:t>
            </w:r>
            <w:r w:rsidRPr="003531C0">
              <w:t>ights in aged care</w:t>
            </w:r>
          </w:p>
        </w:tc>
        <w:tc>
          <w:tcPr>
            <w:tcW w:w="2514" w:type="pct"/>
          </w:tcPr>
          <w:p w14:paraId="3ACEC68B" w14:textId="702DD121" w:rsidR="00365D5B" w:rsidRDefault="00260D42" w:rsidP="003D1D9C">
            <w:pPr>
              <w:spacing w:before="120" w:afterAutospacing="0"/>
            </w:pPr>
            <w:r>
              <w:t xml:space="preserve">The new </w:t>
            </w:r>
            <w:r w:rsidR="0067547B" w:rsidRPr="00341AD1">
              <w:t>Act</w:t>
            </w:r>
            <w:r w:rsidRPr="0067547B">
              <w:t xml:space="preserve"> </w:t>
            </w:r>
            <w:r>
              <w:t xml:space="preserve">provides little in the way of mechanisms </w:t>
            </w:r>
            <w:r w:rsidR="00F3357E">
              <w:t xml:space="preserve">to both enforce </w:t>
            </w:r>
            <w:r>
              <w:t>the Statement of Rights</w:t>
            </w:r>
            <w:r w:rsidR="009E273B">
              <w:t xml:space="preserve"> or embed it through the way</w:t>
            </w:r>
            <w:r w:rsidR="00FA7DF4">
              <w:t xml:space="preserve"> the</w:t>
            </w:r>
            <w:r w:rsidR="009E273B">
              <w:t xml:space="preserve"> aged care </w:t>
            </w:r>
            <w:r w:rsidR="00FA7DF4">
              <w:t>system is administered</w:t>
            </w:r>
            <w:r>
              <w:t xml:space="preserve">. The Office </w:t>
            </w:r>
            <w:r w:rsidR="0046723F">
              <w:t>intends to look</w:t>
            </w:r>
            <w:r>
              <w:t xml:space="preserve"> at </w:t>
            </w:r>
            <w:r w:rsidR="009C5440">
              <w:t xml:space="preserve">methods </w:t>
            </w:r>
            <w:r w:rsidR="00FA7DF4">
              <w:t>beyond</w:t>
            </w:r>
            <w:r w:rsidR="009C5440">
              <w:t xml:space="preserve"> the legislation that can build</w:t>
            </w:r>
            <w:r>
              <w:t xml:space="preserve"> human rights </w:t>
            </w:r>
            <w:r w:rsidR="005128D6">
              <w:t xml:space="preserve">centred behaviour into the aged care system in a manner that </w:t>
            </w:r>
            <w:r w:rsidR="002F705D">
              <w:t>does not solely rely on</w:t>
            </w:r>
            <w:r w:rsidR="005128D6">
              <w:t xml:space="preserve"> </w:t>
            </w:r>
            <w:r w:rsidR="00FA7DF4">
              <w:t xml:space="preserve">raising a breach, </w:t>
            </w:r>
            <w:r w:rsidR="002F705D">
              <w:t>in addition to</w:t>
            </w:r>
            <w:r w:rsidR="00FA7DF4">
              <w:t xml:space="preserve"> how </w:t>
            </w:r>
            <w:r w:rsidR="00744BA8">
              <w:t xml:space="preserve">individual breaches can be remedied beyond simply making a ‘complaint’. </w:t>
            </w:r>
            <w:r w:rsidR="002F705D">
              <w:t xml:space="preserve">The intent is to determine how the Statement of Rights </w:t>
            </w:r>
            <w:r>
              <w:t xml:space="preserve">can be both embedded and enforced to ensure the system truly provides the correct policy settings to bring </w:t>
            </w:r>
            <w:r w:rsidR="00597391">
              <w:t>rights in aged care</w:t>
            </w:r>
            <w:r>
              <w:t xml:space="preserve"> to life.</w:t>
            </w:r>
          </w:p>
        </w:tc>
      </w:tr>
      <w:tr w:rsidR="00365D5B" w14:paraId="6F337E85" w14:textId="77777777" w:rsidTr="00CF0BE4">
        <w:trPr>
          <w:cnfStyle w:val="000000010000" w:firstRow="0" w:lastRow="0" w:firstColumn="0" w:lastColumn="0" w:oddVBand="0" w:evenVBand="0" w:oddHBand="0" w:evenHBand="1" w:firstRowFirstColumn="0" w:firstRowLastColumn="0" w:lastRowFirstColumn="0" w:lastRowLastColumn="0"/>
        </w:trPr>
        <w:tc>
          <w:tcPr>
            <w:tcW w:w="1885" w:type="pct"/>
          </w:tcPr>
          <w:p w14:paraId="03EB09D7" w14:textId="77777777" w:rsidR="00365D5B" w:rsidRDefault="00365D5B" w:rsidP="005C57CA">
            <w:pPr>
              <w:spacing w:before="120"/>
            </w:pPr>
            <w:r w:rsidRPr="003531C0">
              <w:t>What does trauma-aware and healing-informed aged care look like?</w:t>
            </w:r>
          </w:p>
        </w:tc>
        <w:tc>
          <w:tcPr>
            <w:tcW w:w="2514" w:type="pct"/>
          </w:tcPr>
          <w:p w14:paraId="77D2DB49" w14:textId="2D595655" w:rsidR="00365D5B" w:rsidRDefault="00C45E65" w:rsidP="003D1D9C">
            <w:pPr>
              <w:spacing w:before="120" w:afterAutospacing="0"/>
            </w:pPr>
            <w:r>
              <w:t xml:space="preserve">Trauma-aware, healing-informed aged care is a right of every person who receives aged care under the new </w:t>
            </w:r>
            <w:r w:rsidRPr="005C57CA">
              <w:t>Aged Care Act 2024</w:t>
            </w:r>
            <w:r>
              <w:t xml:space="preserve">. The Office </w:t>
            </w:r>
            <w:r w:rsidR="00597391">
              <w:t xml:space="preserve">intends to examine and give strong guidance </w:t>
            </w:r>
            <w:r w:rsidR="001020F0">
              <w:t xml:space="preserve">on </w:t>
            </w:r>
            <w:r>
              <w:t>how trauma-aware, healing-informed care could be brought to life through the government’s administration and regulation of the aged care system.</w:t>
            </w:r>
          </w:p>
        </w:tc>
      </w:tr>
    </w:tbl>
    <w:p w14:paraId="0512F2ED" w14:textId="77777777" w:rsidR="009E4F05" w:rsidRPr="009E4F05" w:rsidRDefault="009E4F05" w:rsidP="009E4F05"/>
    <w:p w14:paraId="265ACFE9" w14:textId="78458043" w:rsidR="009E4F05" w:rsidRDefault="009E4F05" w:rsidP="00DE5032">
      <w:pPr>
        <w:pStyle w:val="Heading3"/>
      </w:pPr>
      <w:bookmarkStart w:id="67" w:name="_Toc206085597"/>
      <w:bookmarkStart w:id="68" w:name="_Toc206703328"/>
      <w:bookmarkStart w:id="69" w:name="_Toc207110579"/>
      <w:r w:rsidRPr="00A94FE4">
        <w:t>An equitable and sustainable aged care system</w:t>
      </w:r>
      <w:bookmarkEnd w:id="67"/>
      <w:bookmarkEnd w:id="68"/>
      <w:bookmarkEnd w:id="69"/>
    </w:p>
    <w:tbl>
      <w:tblPr>
        <w:tblStyle w:val="Basictable"/>
        <w:tblW w:w="5000" w:type="pct"/>
        <w:tblLook w:val="0420" w:firstRow="1" w:lastRow="0" w:firstColumn="0" w:lastColumn="0" w:noHBand="0" w:noVBand="1"/>
      </w:tblPr>
      <w:tblGrid>
        <w:gridCol w:w="3866"/>
        <w:gridCol w:w="5154"/>
      </w:tblGrid>
      <w:tr w:rsidR="00C45E65" w14:paraId="50DC818B" w14:textId="77777777" w:rsidTr="00CF0BE4">
        <w:trPr>
          <w:cnfStyle w:val="100000000000" w:firstRow="1" w:lastRow="0" w:firstColumn="0" w:lastColumn="0" w:oddVBand="0" w:evenVBand="0" w:oddHBand="0" w:evenHBand="0" w:firstRowFirstColumn="0" w:firstRowLastColumn="0" w:lastRowFirstColumn="0" w:lastRowLastColumn="0"/>
        </w:trPr>
        <w:tc>
          <w:tcPr>
            <w:tcW w:w="1885" w:type="pct"/>
          </w:tcPr>
          <w:p w14:paraId="7392038E" w14:textId="77777777" w:rsidR="00C45E65" w:rsidRDefault="00C45E65" w:rsidP="00C93022">
            <w:r w:rsidRPr="00E00962">
              <w:t>Topic</w:t>
            </w:r>
          </w:p>
        </w:tc>
        <w:tc>
          <w:tcPr>
            <w:tcW w:w="2514" w:type="pct"/>
          </w:tcPr>
          <w:p w14:paraId="439F49BC" w14:textId="77777777" w:rsidR="00C45E65" w:rsidRDefault="00C45E65" w:rsidP="00C93022">
            <w:r w:rsidRPr="00E00962">
              <w:t>Rationale</w:t>
            </w:r>
          </w:p>
        </w:tc>
      </w:tr>
      <w:tr w:rsidR="00C45E65" w14:paraId="62E03154" w14:textId="77777777" w:rsidTr="00CF0BE4">
        <w:tc>
          <w:tcPr>
            <w:tcW w:w="1885" w:type="pct"/>
          </w:tcPr>
          <w:p w14:paraId="36629FF1" w14:textId="36C2543A" w:rsidR="00C45E65" w:rsidRDefault="00C45E65" w:rsidP="005C57CA">
            <w:pPr>
              <w:spacing w:before="120"/>
            </w:pPr>
            <w:r w:rsidRPr="00956D02">
              <w:t>Co</w:t>
            </w:r>
            <w:r w:rsidR="003119E2">
              <w:t>-</w:t>
            </w:r>
            <w:r w:rsidRPr="00956D02">
              <w:t>payments: are they breaching human rights?</w:t>
            </w:r>
          </w:p>
        </w:tc>
        <w:tc>
          <w:tcPr>
            <w:tcW w:w="2514" w:type="pct"/>
          </w:tcPr>
          <w:p w14:paraId="009EB05B" w14:textId="28CFF932" w:rsidR="00C45E65" w:rsidRDefault="000E3065" w:rsidP="003D1D9C">
            <w:pPr>
              <w:spacing w:before="120" w:afterAutospacing="0"/>
            </w:pPr>
            <w:r>
              <w:t>Pending the availability of relevant data and feedback the Office will consider whether the consequences of the implementation and structure of the co-payments system for Support at Home warrants a report or review.</w:t>
            </w:r>
          </w:p>
        </w:tc>
      </w:tr>
      <w:tr w:rsidR="00C45E65" w14:paraId="66EFC71B" w14:textId="77777777" w:rsidTr="00CF0BE4">
        <w:trPr>
          <w:cnfStyle w:val="000000010000" w:firstRow="0" w:lastRow="0" w:firstColumn="0" w:lastColumn="0" w:oddVBand="0" w:evenVBand="0" w:oddHBand="0" w:evenHBand="1" w:firstRowFirstColumn="0" w:firstRowLastColumn="0" w:lastRowFirstColumn="0" w:lastRowLastColumn="0"/>
        </w:trPr>
        <w:tc>
          <w:tcPr>
            <w:tcW w:w="1885" w:type="pct"/>
          </w:tcPr>
          <w:p w14:paraId="4DD14C0B" w14:textId="66BBB840" w:rsidR="00C45E65" w:rsidRDefault="00ED1525" w:rsidP="005C57CA">
            <w:pPr>
              <w:spacing w:before="120"/>
            </w:pPr>
            <w:r w:rsidRPr="00ED1525">
              <w:lastRenderedPageBreak/>
              <w:t>The disparity between the NDIS and aged care</w:t>
            </w:r>
          </w:p>
        </w:tc>
        <w:tc>
          <w:tcPr>
            <w:tcW w:w="2514" w:type="pct"/>
          </w:tcPr>
          <w:p w14:paraId="715F0FD8" w14:textId="76C09685" w:rsidR="00C45E65" w:rsidRDefault="004E31B5" w:rsidP="003D1D9C">
            <w:pPr>
              <w:spacing w:before="120" w:afterAutospacing="0"/>
            </w:pPr>
            <w:r>
              <w:t>The Office is interested in further investigating the impact on older people with disability when they move from specialised disability support into aged care.</w:t>
            </w:r>
          </w:p>
        </w:tc>
      </w:tr>
    </w:tbl>
    <w:p w14:paraId="19F8C90C" w14:textId="06B479DB" w:rsidR="00CF0BE4" w:rsidRDefault="00CF0BE4" w:rsidP="009E4F05"/>
    <w:p w14:paraId="04E6F28B" w14:textId="59F2D886" w:rsidR="009E4F05" w:rsidRDefault="009E4F05" w:rsidP="00DE5032">
      <w:pPr>
        <w:pStyle w:val="Heading3"/>
      </w:pPr>
      <w:bookmarkStart w:id="70" w:name="_Toc206085598"/>
      <w:bookmarkStart w:id="71" w:name="_Toc206703329"/>
      <w:bookmarkStart w:id="72" w:name="_Toc207110580"/>
      <w:r w:rsidRPr="00A94FE4">
        <w:t>Reliable safeguarding and oversight of the system</w:t>
      </w:r>
      <w:bookmarkEnd w:id="70"/>
      <w:bookmarkEnd w:id="71"/>
      <w:bookmarkEnd w:id="72"/>
    </w:p>
    <w:tbl>
      <w:tblPr>
        <w:tblStyle w:val="Basictable"/>
        <w:tblW w:w="5000" w:type="pct"/>
        <w:tblLook w:val="0420" w:firstRow="1" w:lastRow="0" w:firstColumn="0" w:lastColumn="0" w:noHBand="0" w:noVBand="1"/>
      </w:tblPr>
      <w:tblGrid>
        <w:gridCol w:w="3866"/>
        <w:gridCol w:w="5154"/>
      </w:tblGrid>
      <w:tr w:rsidR="00D96DED" w14:paraId="7C534D96" w14:textId="77777777" w:rsidTr="00CF0BE4">
        <w:trPr>
          <w:cnfStyle w:val="100000000000" w:firstRow="1" w:lastRow="0" w:firstColumn="0" w:lastColumn="0" w:oddVBand="0" w:evenVBand="0" w:oddHBand="0" w:evenHBand="0" w:firstRowFirstColumn="0" w:firstRowLastColumn="0" w:lastRowFirstColumn="0" w:lastRowLastColumn="0"/>
        </w:trPr>
        <w:tc>
          <w:tcPr>
            <w:tcW w:w="1885" w:type="pct"/>
          </w:tcPr>
          <w:p w14:paraId="2F604FC4" w14:textId="77777777" w:rsidR="00D96DED" w:rsidRDefault="00D96DED" w:rsidP="00C93022">
            <w:r w:rsidRPr="00E00962">
              <w:t>Topic</w:t>
            </w:r>
          </w:p>
        </w:tc>
        <w:tc>
          <w:tcPr>
            <w:tcW w:w="2514" w:type="pct"/>
          </w:tcPr>
          <w:p w14:paraId="1CE0EF91" w14:textId="77777777" w:rsidR="00D96DED" w:rsidRDefault="00D96DED" w:rsidP="00C93022">
            <w:r w:rsidRPr="00E00962">
              <w:t>Rationale</w:t>
            </w:r>
          </w:p>
        </w:tc>
      </w:tr>
      <w:tr w:rsidR="00D96DED" w14:paraId="4C2ED7CA" w14:textId="77777777" w:rsidTr="00CF0BE4">
        <w:tc>
          <w:tcPr>
            <w:tcW w:w="1885" w:type="pct"/>
          </w:tcPr>
          <w:p w14:paraId="22D47160" w14:textId="5BF5B25E" w:rsidR="00D96DED" w:rsidRDefault="009C0171" w:rsidP="005C57CA">
            <w:pPr>
              <w:spacing w:before="120"/>
            </w:pPr>
            <w:r w:rsidRPr="009C0171">
              <w:t>The merits of a Community Visitor Program</w:t>
            </w:r>
          </w:p>
        </w:tc>
        <w:tc>
          <w:tcPr>
            <w:tcW w:w="2514" w:type="pct"/>
          </w:tcPr>
          <w:p w14:paraId="07929101" w14:textId="77777777" w:rsidR="00176FFC" w:rsidRDefault="00176FFC" w:rsidP="005C57CA">
            <w:pPr>
              <w:spacing w:before="120" w:afterAutospacing="0"/>
            </w:pPr>
            <w:r>
              <w:t xml:space="preserve">The Inspector-General is aware of the importance and impact community visitors play in the disability, prisons, mental health and other sectors in operating as the independent eyes and ears of a system’s adherence to human rights. </w:t>
            </w:r>
          </w:p>
          <w:p w14:paraId="7954FB05" w14:textId="53E1B354" w:rsidR="00D96DED" w:rsidRDefault="00176FFC" w:rsidP="003D1D9C">
            <w:pPr>
              <w:spacing w:before="120" w:afterAutospacing="0"/>
            </w:pPr>
            <w:r>
              <w:t>This Office is interested in exploring the merits of a similar scheme, focus</w:t>
            </w:r>
            <w:r w:rsidR="00C73308">
              <w:t>s</w:t>
            </w:r>
            <w:r>
              <w:t>ed on independent oversight rather than companionship, in aged care.</w:t>
            </w:r>
          </w:p>
        </w:tc>
      </w:tr>
    </w:tbl>
    <w:p w14:paraId="18E985ED" w14:textId="5247AAE4" w:rsidR="00B10A17" w:rsidRDefault="00B10A17" w:rsidP="009E4F05"/>
    <w:p w14:paraId="08E4DD5F" w14:textId="77777777" w:rsidR="004450F2" w:rsidRDefault="004450F2">
      <w:pPr>
        <w:spacing w:after="0"/>
        <w:sectPr w:rsidR="004450F2" w:rsidSect="00485DE2">
          <w:pgSz w:w="11900" w:h="16840" w:code="9"/>
          <w:pgMar w:top="1440" w:right="1440" w:bottom="1440" w:left="1440" w:header="709" w:footer="510" w:gutter="0"/>
          <w:cols w:space="708"/>
          <w:titlePg/>
          <w:docGrid w:linePitch="360"/>
        </w:sectPr>
      </w:pPr>
    </w:p>
    <w:p w14:paraId="4DBCF1C7" w14:textId="296513AA" w:rsidR="00365D5B" w:rsidRDefault="00365D5B" w:rsidP="005D434A">
      <w:pPr>
        <w:pStyle w:val="Heading2"/>
      </w:pPr>
      <w:bookmarkStart w:id="73" w:name="_Toc206085599"/>
      <w:bookmarkStart w:id="74" w:name="_Toc206703330"/>
      <w:bookmarkStart w:id="75" w:name="_Toc206750424"/>
      <w:bookmarkStart w:id="76" w:name="_Toc207110581"/>
      <w:r>
        <w:lastRenderedPageBreak/>
        <w:t>Conclusion</w:t>
      </w:r>
      <w:bookmarkEnd w:id="73"/>
      <w:bookmarkEnd w:id="74"/>
      <w:bookmarkEnd w:id="75"/>
      <w:bookmarkEnd w:id="76"/>
    </w:p>
    <w:p w14:paraId="64942B32" w14:textId="77777777" w:rsidR="00365D5B" w:rsidRDefault="00365D5B" w:rsidP="00365D5B">
      <w:pPr>
        <w:spacing w:before="240"/>
      </w:pPr>
      <w:r>
        <w:t>The Inspector-General has a statutory responsibility to oversee the Australian Government’s administration, regulation and funding of aged care. The 2025–26 Annual Work Plan provides a balance between accountability and transparency and sets out our intention to drive continuous improvement in the aged care system for older people in Australia.</w:t>
      </w:r>
    </w:p>
    <w:p w14:paraId="2349F715" w14:textId="77777777" w:rsidR="00365D5B" w:rsidRPr="0089566C" w:rsidRDefault="00365D5B" w:rsidP="00365D5B">
      <w:r>
        <w:t xml:space="preserve">This work plan is ambitious, but the Office is committed to ensuring that Australia provides an aged care system that upholds the rights of older people and that delivers high quality care as aspired to in the new </w:t>
      </w:r>
      <w:r>
        <w:rPr>
          <w:i/>
          <w:iCs/>
        </w:rPr>
        <w:t>Aged Care Act 2024</w:t>
      </w:r>
      <w:r>
        <w:t xml:space="preserve">. </w:t>
      </w:r>
    </w:p>
    <w:p w14:paraId="7093BD67" w14:textId="77777777" w:rsidR="00C2392B" w:rsidRDefault="00C2392B" w:rsidP="006541F4"/>
    <w:bookmarkEnd w:id="4"/>
    <w:p w14:paraId="37071BA4" w14:textId="25376D45" w:rsidR="00A77444" w:rsidRDefault="00A77444" w:rsidP="00A77444">
      <w:pPr>
        <w:sectPr w:rsidR="00A77444" w:rsidSect="00485DE2">
          <w:headerReference w:type="first" r:id="rId30"/>
          <w:pgSz w:w="11900" w:h="16840" w:code="9"/>
          <w:pgMar w:top="1440" w:right="1440" w:bottom="1440" w:left="1440" w:header="709" w:footer="510" w:gutter="0"/>
          <w:cols w:space="708"/>
          <w:titlePg/>
          <w:docGrid w:linePitch="360"/>
        </w:sectPr>
      </w:pPr>
    </w:p>
    <w:p w14:paraId="5469010D" w14:textId="1E62AD45" w:rsidR="00731CC9" w:rsidRPr="000D5EA0" w:rsidRDefault="00541FB9" w:rsidP="00731CC9">
      <w:r>
        <w:rPr>
          <w:noProof/>
          <w14:ligatures w14:val="standardContextual"/>
        </w:rPr>
        <w:lastRenderedPageBreak/>
        <w:drawing>
          <wp:anchor distT="0" distB="0" distL="114300" distR="114300" simplePos="0" relativeHeight="251665408" behindDoc="0" locked="0" layoutInCell="1" allowOverlap="1" wp14:anchorId="6AA9533A" wp14:editId="1DC00A7C">
            <wp:simplePos x="0" y="0"/>
            <wp:positionH relativeFrom="margin">
              <wp:align>center</wp:align>
            </wp:positionH>
            <wp:positionV relativeFrom="page">
              <wp:align>center</wp:align>
            </wp:positionV>
            <wp:extent cx="7678800" cy="10857600"/>
            <wp:effectExtent l="0" t="0" r="0" b="1270"/>
            <wp:wrapNone/>
            <wp:docPr id="1876091579" name="Picture 1" descr="A purple square with whit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91579" name="Picture 1" descr="A purple square with white lines"/>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678800" cy="10857600"/>
                    </a:xfrm>
                    <a:prstGeom prst="rect">
                      <a:avLst/>
                    </a:prstGeom>
                  </pic:spPr>
                </pic:pic>
              </a:graphicData>
            </a:graphic>
            <wp14:sizeRelH relativeFrom="page">
              <wp14:pctWidth>0</wp14:pctWidth>
            </wp14:sizeRelH>
            <wp14:sizeRelV relativeFrom="page">
              <wp14:pctHeight>0</wp14:pctHeight>
            </wp14:sizeRelV>
          </wp:anchor>
        </w:drawing>
      </w:r>
    </w:p>
    <w:p w14:paraId="44D69025" w14:textId="4A9DECFC" w:rsidR="005F7D2C" w:rsidRPr="00047010" w:rsidRDefault="0067157A" w:rsidP="006513E3">
      <w:pPr>
        <w:spacing w:before="480" w:after="0"/>
        <w:jc w:val="center"/>
        <w:rPr>
          <w:color w:val="FFFFFF" w:themeColor="background1"/>
          <w:sz w:val="44"/>
          <w:szCs w:val="44"/>
        </w:rPr>
      </w:pPr>
      <w:r>
        <w:rPr>
          <w:noProof/>
        </w:rPr>
        <mc:AlternateContent>
          <mc:Choice Requires="wps">
            <w:drawing>
              <wp:anchor distT="45720" distB="45720" distL="114300" distR="114300" simplePos="0" relativeHeight="251672576" behindDoc="0" locked="0" layoutInCell="1" allowOverlap="1" wp14:anchorId="3C97E21D" wp14:editId="486A2012">
                <wp:simplePos x="0" y="0"/>
                <wp:positionH relativeFrom="margin">
                  <wp:align>center</wp:align>
                </wp:positionH>
                <wp:positionV relativeFrom="paragraph">
                  <wp:posOffset>8321675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543A0CE" w14:textId="51944E75" w:rsidR="0067157A" w:rsidRPr="0067157A" w:rsidRDefault="0067157A" w:rsidP="0067157A">
                            <w:pPr>
                              <w:jc w:val="center"/>
                              <w:rPr>
                                <w:color w:val="FFFFFF" w:themeColor="background1"/>
                                <w:sz w:val="40"/>
                                <w:szCs w:val="40"/>
                              </w:rPr>
                            </w:pPr>
                            <w:r w:rsidRPr="0067157A">
                              <w:rPr>
                                <w:color w:val="FFFFFF" w:themeColor="background1"/>
                                <w:sz w:val="40"/>
                                <w:szCs w:val="40"/>
                              </w:rPr>
                              <w:t>igac.gov.au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97E21D" id="_x0000_t202" coordsize="21600,21600" o:spt="202" path="m,l,21600r21600,l21600,xe">
                <v:stroke joinstyle="miter"/>
                <v:path gradientshapeok="t" o:connecttype="rect"/>
              </v:shapetype>
              <v:shape id="Text Box 2" o:spid="_x0000_s1026" type="#_x0000_t202" style="position:absolute;left:0;text-align:left;margin-left:0;margin-top:655.25pt;width:185.9pt;height:110.6pt;z-index:25167257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" filled="f" stroked="f">
                <v:textbox style="mso-fit-shape-to-text:t">
                  <w:txbxContent>
                    <w:p w14:paraId="7543A0CE" w14:textId="51944E75" w:rsidR="0067157A" w:rsidRPr="0067157A" w:rsidRDefault="0067157A" w:rsidP="0067157A">
                      <w:pPr>
                        <w:jc w:val="center"/>
                        <w:rPr>
                          <w:color w:val="FFFFFF" w:themeColor="background1"/>
                          <w:sz w:val="40"/>
                          <w:szCs w:val="40"/>
                        </w:rPr>
                      </w:pPr>
                      <w:r w:rsidRPr="0067157A">
                        <w:rPr>
                          <w:color w:val="FFFFFF" w:themeColor="background1"/>
                          <w:sz w:val="40"/>
                          <w:szCs w:val="40"/>
                        </w:rPr>
                        <w:t>igac.gov.au</w:t>
                      </w:r>
                    </w:p>
                  </w:txbxContent>
                </v:textbox>
                <w10:wrap type="square" anchorx="margin"/>
              </v:shape>
            </w:pict>
          </mc:Fallback>
        </mc:AlternateContent>
      </w:r>
      <w:r w:rsidR="001846BF" w:rsidRPr="00F632BE">
        <w:rPr>
          <w:noProof/>
          <w:color w:val="FFFFFF" w:themeColor="background1"/>
          <w:sz w:val="90"/>
          <w:szCs w:val="90"/>
          <w14:ligatures w14:val="standardContextual"/>
        </w:rPr>
        <w:drawing>
          <wp:anchor distT="0" distB="0" distL="114300" distR="114300" simplePos="0" relativeHeight="251667456" behindDoc="0" locked="0" layoutInCell="1" allowOverlap="1" wp14:anchorId="53B4E356" wp14:editId="5052C084">
            <wp:simplePos x="0" y="0"/>
            <wp:positionH relativeFrom="margin">
              <wp:posOffset>1449070</wp:posOffset>
            </wp:positionH>
            <wp:positionV relativeFrom="paragraph">
              <wp:posOffset>7552276</wp:posOffset>
            </wp:positionV>
            <wp:extent cx="3074161" cy="614697"/>
            <wp:effectExtent l="0" t="0" r="0" b="0"/>
            <wp:wrapNone/>
            <wp:docPr id="1222964408" name="Picture 3"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64408" name="Picture 3" descr="A black and white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74161" cy="614697"/>
                    </a:xfrm>
                    <a:prstGeom prst="rect">
                      <a:avLst/>
                    </a:prstGeom>
                  </pic:spPr>
                </pic:pic>
              </a:graphicData>
            </a:graphic>
            <wp14:sizeRelH relativeFrom="page">
              <wp14:pctWidth>0</wp14:pctWidth>
            </wp14:sizeRelH>
            <wp14:sizeRelV relativeFrom="page">
              <wp14:pctHeight>0</wp14:pctHeight>
            </wp14:sizeRelV>
          </wp:anchor>
        </w:drawing>
      </w:r>
      <w:r w:rsidR="006513E3">
        <w:rPr>
          <w:noProof/>
          <w:color w:val="FFFFFF" w:themeColor="background1"/>
          <w:sz w:val="44"/>
          <w:szCs w:val="44"/>
        </w:rPr>
        <w:drawing>
          <wp:inline distT="0" distB="0" distL="0" distR="0" wp14:anchorId="10989838" wp14:editId="23BD93FE">
            <wp:extent cx="673100" cy="660400"/>
            <wp:effectExtent l="0" t="0" r="0" b="0"/>
            <wp:docPr id="1267712943"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712943" name="Picture 9">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Lst>
                    </a:blip>
                    <a:stretch>
                      <a:fillRect/>
                    </a:stretch>
                  </pic:blipFill>
                  <pic:spPr>
                    <a:xfrm>
                      <a:off x="0" y="0"/>
                      <a:ext cx="673100" cy="660400"/>
                    </a:xfrm>
                    <a:prstGeom prst="rect">
                      <a:avLst/>
                    </a:prstGeom>
                  </pic:spPr>
                </pic:pic>
              </a:graphicData>
            </a:graphic>
          </wp:inline>
        </w:drawing>
      </w:r>
    </w:p>
    <w:sectPr w:rsidR="005F7D2C" w:rsidRPr="00047010" w:rsidSect="00485DE2">
      <w:footerReference w:type="first" r:id="rId3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ADCA7" w14:textId="77777777" w:rsidR="00127B6C" w:rsidRDefault="00127B6C" w:rsidP="00731CC9">
      <w:r>
        <w:separator/>
      </w:r>
    </w:p>
  </w:endnote>
  <w:endnote w:type="continuationSeparator" w:id="0">
    <w:p w14:paraId="2447D28B" w14:textId="77777777" w:rsidR="00127B6C" w:rsidRDefault="00127B6C" w:rsidP="00731CC9">
      <w:r>
        <w:continuationSeparator/>
      </w:r>
    </w:p>
  </w:endnote>
  <w:endnote w:type="continuationNotice" w:id="1">
    <w:p w14:paraId="242AE8DA" w14:textId="77777777" w:rsidR="00127B6C" w:rsidRDefault="00127B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F3CE5" w14:textId="17FE4A80" w:rsidR="00305C5A" w:rsidRPr="005248FA" w:rsidRDefault="005248FA" w:rsidP="005248FA">
    <w:pPr>
      <w:tabs>
        <w:tab w:val="left" w:pos="8505"/>
      </w:tabs>
      <w:spacing w:before="480"/>
      <w:ind w:right="50"/>
      <w:rPr>
        <w:rFonts w:eastAsiaTheme="minorHAnsi"/>
        <w:sz w:val="18"/>
        <w:szCs w:val="18"/>
      </w:rPr>
    </w:pPr>
    <w:r w:rsidRPr="008E2685">
      <w:rPr>
        <w:rFonts w:eastAsiaTheme="minorHAnsi"/>
        <w:sz w:val="18"/>
        <w:szCs w:val="18"/>
      </w:rPr>
      <w:t>Office of the Inspector-General of Aged Care</w:t>
    </w:r>
    <w:r w:rsidRPr="00F1302A">
      <w:rPr>
        <w:rFonts w:eastAsiaTheme="minorHAnsi"/>
        <w:b/>
        <w:bCs/>
        <w:sz w:val="18"/>
        <w:szCs w:val="18"/>
      </w:rPr>
      <w:t xml:space="preserve"> </w:t>
    </w:r>
    <w:r>
      <w:rPr>
        <w:rFonts w:eastAsiaTheme="minorHAnsi"/>
        <w:b/>
        <w:bCs/>
        <w:sz w:val="18"/>
        <w:szCs w:val="18"/>
      </w:rPr>
      <w:t>Annual Work Plan 2025</w:t>
    </w:r>
    <w:r w:rsidR="00485DE2">
      <w:rPr>
        <w:rFonts w:eastAsiaTheme="minorHAnsi"/>
        <w:b/>
        <w:bCs/>
        <w:sz w:val="18"/>
        <w:szCs w:val="18"/>
      </w:rPr>
      <w:t>–</w:t>
    </w:r>
    <w:r>
      <w:rPr>
        <w:rFonts w:eastAsiaTheme="minorHAnsi"/>
        <w:b/>
        <w:bCs/>
        <w:sz w:val="18"/>
        <w:szCs w:val="18"/>
      </w:rPr>
      <w:t>26</w:t>
    </w:r>
    <w:r>
      <w:rPr>
        <w:rFonts w:eastAsiaTheme="minorHAnsi"/>
        <w:b/>
        <w:bCs/>
        <w:sz w:val="18"/>
        <w:szCs w:val="18"/>
      </w:rPr>
      <w:tab/>
    </w:r>
    <w:r w:rsidRPr="008E2685">
      <w:rPr>
        <w:rFonts w:eastAsiaTheme="minorHAnsi"/>
        <w:sz w:val="18"/>
        <w:szCs w:val="18"/>
      </w:rPr>
      <w:fldChar w:fldCharType="begin"/>
    </w:r>
    <w:r w:rsidRPr="008E2685">
      <w:rPr>
        <w:rFonts w:eastAsiaTheme="minorHAnsi"/>
        <w:sz w:val="18"/>
        <w:szCs w:val="18"/>
      </w:rPr>
      <w:instrText>PAGE   \* MERGEFORMAT</w:instrText>
    </w:r>
    <w:r w:rsidRPr="008E2685">
      <w:rPr>
        <w:rFonts w:eastAsiaTheme="minorHAnsi"/>
        <w:sz w:val="18"/>
        <w:szCs w:val="18"/>
      </w:rPr>
      <w:fldChar w:fldCharType="separate"/>
    </w:r>
    <w:r>
      <w:rPr>
        <w:rFonts w:eastAsiaTheme="minorHAnsi"/>
        <w:sz w:val="18"/>
        <w:szCs w:val="18"/>
      </w:rPr>
      <w:t>3</w:t>
    </w:r>
    <w:r w:rsidRPr="008E2685">
      <w:rPr>
        <w:rFonts w:eastAsia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00AD" w14:textId="174CE8E2" w:rsidR="005E7CEA" w:rsidRPr="00A42ECE" w:rsidRDefault="005E7CEA" w:rsidP="00485DE2">
    <w:pPr>
      <w:tabs>
        <w:tab w:val="left" w:pos="8505"/>
      </w:tabs>
      <w:spacing w:before="480"/>
      <w:ind w:right="50"/>
      <w:rPr>
        <w:rFonts w:eastAsiaTheme="minorHAnsi"/>
        <w:sz w:val="18"/>
        <w:szCs w:val="18"/>
      </w:rPr>
    </w:pPr>
    <w:r w:rsidRPr="008E2685">
      <w:rPr>
        <w:rFonts w:eastAsiaTheme="minorHAnsi"/>
        <w:sz w:val="18"/>
        <w:szCs w:val="18"/>
      </w:rPr>
      <w:t>Office of the Inspector-General of Aged Care</w:t>
    </w:r>
    <w:r w:rsidRPr="00F1302A">
      <w:rPr>
        <w:rFonts w:eastAsiaTheme="minorHAnsi"/>
        <w:b/>
        <w:bCs/>
        <w:sz w:val="18"/>
        <w:szCs w:val="18"/>
      </w:rPr>
      <w:t xml:space="preserve"> </w:t>
    </w:r>
    <w:r>
      <w:rPr>
        <w:rFonts w:eastAsiaTheme="minorHAnsi"/>
        <w:b/>
        <w:bCs/>
        <w:sz w:val="18"/>
        <w:szCs w:val="18"/>
      </w:rPr>
      <w:t xml:space="preserve">Annual </w:t>
    </w:r>
    <w:r w:rsidR="00FE00F8">
      <w:rPr>
        <w:rFonts w:eastAsiaTheme="minorHAnsi"/>
        <w:b/>
        <w:bCs/>
        <w:sz w:val="18"/>
        <w:szCs w:val="18"/>
      </w:rPr>
      <w:t>Work Plan</w:t>
    </w:r>
    <w:r>
      <w:rPr>
        <w:rFonts w:eastAsiaTheme="minorHAnsi"/>
        <w:b/>
        <w:bCs/>
        <w:sz w:val="18"/>
        <w:szCs w:val="18"/>
      </w:rPr>
      <w:t xml:space="preserve"> 202</w:t>
    </w:r>
    <w:r w:rsidR="00FE00F8">
      <w:rPr>
        <w:rFonts w:eastAsiaTheme="minorHAnsi"/>
        <w:b/>
        <w:bCs/>
        <w:sz w:val="18"/>
        <w:szCs w:val="18"/>
      </w:rPr>
      <w:t>5</w:t>
    </w:r>
    <w:r w:rsidR="00485DE2">
      <w:rPr>
        <w:rFonts w:eastAsiaTheme="minorHAnsi"/>
        <w:b/>
        <w:bCs/>
        <w:sz w:val="18"/>
        <w:szCs w:val="18"/>
      </w:rPr>
      <w:t>–</w:t>
    </w:r>
    <w:r>
      <w:rPr>
        <w:rFonts w:eastAsiaTheme="minorHAnsi"/>
        <w:b/>
        <w:bCs/>
        <w:sz w:val="18"/>
        <w:szCs w:val="18"/>
      </w:rPr>
      <w:t>2</w:t>
    </w:r>
    <w:r w:rsidR="00FE00F8">
      <w:rPr>
        <w:rFonts w:eastAsiaTheme="minorHAnsi"/>
        <w:b/>
        <w:bCs/>
        <w:sz w:val="18"/>
        <w:szCs w:val="18"/>
      </w:rPr>
      <w:t>6</w:t>
    </w:r>
    <w:r w:rsidR="00CE788E">
      <w:rPr>
        <w:rFonts w:eastAsiaTheme="minorHAnsi"/>
        <w:b/>
        <w:bCs/>
        <w:sz w:val="18"/>
        <w:szCs w:val="18"/>
      </w:rPr>
      <w:tab/>
    </w:r>
    <w:r w:rsidRPr="008E2685">
      <w:rPr>
        <w:rFonts w:eastAsiaTheme="minorHAnsi"/>
        <w:sz w:val="18"/>
        <w:szCs w:val="18"/>
      </w:rPr>
      <w:fldChar w:fldCharType="begin"/>
    </w:r>
    <w:r w:rsidRPr="008E2685">
      <w:rPr>
        <w:rFonts w:eastAsiaTheme="minorHAnsi"/>
        <w:sz w:val="18"/>
        <w:szCs w:val="18"/>
      </w:rPr>
      <w:instrText>PAGE   \* MERGEFORMAT</w:instrText>
    </w:r>
    <w:r w:rsidRPr="008E2685">
      <w:rPr>
        <w:rFonts w:eastAsiaTheme="minorHAnsi"/>
        <w:sz w:val="18"/>
        <w:szCs w:val="18"/>
      </w:rPr>
      <w:fldChar w:fldCharType="separate"/>
    </w:r>
    <w:r w:rsidRPr="008E2685">
      <w:rPr>
        <w:rFonts w:eastAsiaTheme="minorHAnsi"/>
        <w:sz w:val="18"/>
        <w:szCs w:val="18"/>
        <w:lang w:val="en-GB"/>
      </w:rPr>
      <w:t>1</w:t>
    </w:r>
    <w:r w:rsidRPr="008E2685">
      <w:rPr>
        <w:rFonts w:eastAsia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D08D" w14:textId="540E8176" w:rsidR="005248FA" w:rsidRPr="00A42ECE" w:rsidRDefault="005248FA" w:rsidP="005248FA">
    <w:pPr>
      <w:tabs>
        <w:tab w:val="left" w:pos="8505"/>
      </w:tabs>
      <w:spacing w:before="480"/>
      <w:ind w:right="50"/>
      <w:rPr>
        <w:rFonts w:eastAsiaTheme="minorHAnsi"/>
        <w:sz w:val="18"/>
        <w:szCs w:val="18"/>
      </w:rPr>
    </w:pPr>
    <w:r w:rsidRPr="008E2685">
      <w:rPr>
        <w:rFonts w:eastAsiaTheme="minorHAnsi"/>
        <w:sz w:val="18"/>
        <w:szCs w:val="18"/>
      </w:rPr>
      <w:t>Office of the Inspector-General of Aged Care</w:t>
    </w:r>
    <w:r w:rsidRPr="00F1302A">
      <w:rPr>
        <w:rFonts w:eastAsiaTheme="minorHAnsi"/>
        <w:b/>
        <w:bCs/>
        <w:sz w:val="18"/>
        <w:szCs w:val="18"/>
      </w:rPr>
      <w:t xml:space="preserve"> </w:t>
    </w:r>
    <w:r>
      <w:rPr>
        <w:rFonts w:eastAsiaTheme="minorHAnsi"/>
        <w:b/>
        <w:bCs/>
        <w:sz w:val="18"/>
        <w:szCs w:val="18"/>
      </w:rPr>
      <w:t>Annual Work Plan 2025</w:t>
    </w:r>
    <w:r w:rsidR="00FC5F9B">
      <w:rPr>
        <w:rFonts w:eastAsiaTheme="minorHAnsi"/>
        <w:b/>
        <w:bCs/>
        <w:sz w:val="18"/>
        <w:szCs w:val="18"/>
      </w:rPr>
      <w:t>–</w:t>
    </w:r>
    <w:r>
      <w:rPr>
        <w:rFonts w:eastAsiaTheme="minorHAnsi"/>
        <w:b/>
        <w:bCs/>
        <w:sz w:val="18"/>
        <w:szCs w:val="18"/>
      </w:rPr>
      <w:t>26</w:t>
    </w:r>
    <w:r>
      <w:rPr>
        <w:rFonts w:eastAsiaTheme="minorHAnsi"/>
        <w:b/>
        <w:bCs/>
        <w:sz w:val="18"/>
        <w:szCs w:val="18"/>
      </w:rPr>
      <w:tab/>
    </w:r>
    <w:r w:rsidRPr="008E2685">
      <w:rPr>
        <w:rFonts w:eastAsiaTheme="minorHAnsi"/>
        <w:sz w:val="18"/>
        <w:szCs w:val="18"/>
      </w:rPr>
      <w:fldChar w:fldCharType="begin"/>
    </w:r>
    <w:r w:rsidRPr="008E2685">
      <w:rPr>
        <w:rFonts w:eastAsiaTheme="minorHAnsi"/>
        <w:sz w:val="18"/>
        <w:szCs w:val="18"/>
      </w:rPr>
      <w:instrText>PAGE   \* MERGEFORMAT</w:instrText>
    </w:r>
    <w:r w:rsidRPr="008E2685">
      <w:rPr>
        <w:rFonts w:eastAsiaTheme="minorHAnsi"/>
        <w:sz w:val="18"/>
        <w:szCs w:val="18"/>
      </w:rPr>
      <w:fldChar w:fldCharType="separate"/>
    </w:r>
    <w:r>
      <w:rPr>
        <w:rFonts w:eastAsiaTheme="minorHAnsi"/>
        <w:sz w:val="18"/>
        <w:szCs w:val="18"/>
      </w:rPr>
      <w:t>3</w:t>
    </w:r>
    <w:r w:rsidRPr="008E2685">
      <w:rPr>
        <w:rFonts w:eastAsiaTheme="minorHAns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1560015"/>
      <w:docPartObj>
        <w:docPartGallery w:val="Page Numbers (Bottom of Page)"/>
        <w:docPartUnique/>
      </w:docPartObj>
    </w:sdtPr>
    <w:sdtContent>
      <w:p w14:paraId="42F691A5" w14:textId="77777777" w:rsidR="00A81120" w:rsidRDefault="00A81120" w:rsidP="00FE2D1D">
        <w:pPr>
          <w:pStyle w:val="Footer"/>
          <w:framePr w:wrap="none" w:vAnchor="text" w:hAnchor="margin" w:xAlign="right" w:y="1"/>
          <w:spacing w:before="3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83E2CEE" w14:textId="77777777" w:rsidR="00A81120" w:rsidRPr="00DA4E91" w:rsidRDefault="00A81120" w:rsidP="00DA4E91">
    <w:pPr>
      <w:spacing w:before="480"/>
      <w:ind w:right="3452"/>
      <w:rPr>
        <w:rFonts w:eastAsiaTheme="minorHAnsi"/>
        <w:sz w:val="18"/>
        <w:szCs w:val="18"/>
      </w:rPr>
    </w:pPr>
    <w:r w:rsidRPr="00737A58">
      <w:rPr>
        <w:rFonts w:eastAsiaTheme="minorHAnsi"/>
        <w:b/>
        <w:bCs/>
        <w:sz w:val="18"/>
        <w:szCs w:val="18"/>
      </w:rPr>
      <w:t>2024 Progress Report:</w:t>
    </w:r>
    <w:r w:rsidRPr="00A42ECE">
      <w:rPr>
        <w:rFonts w:eastAsiaTheme="minorHAnsi"/>
        <w:sz w:val="18"/>
        <w:szCs w:val="18"/>
      </w:rPr>
      <w:t xml:space="preserve"> Implementation of the Recommendations of the Royal Commission into Aged Care Quality and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619F2" w14:textId="77777777" w:rsidR="00127B6C" w:rsidRDefault="00127B6C" w:rsidP="00731CC9">
      <w:r>
        <w:separator/>
      </w:r>
    </w:p>
  </w:footnote>
  <w:footnote w:type="continuationSeparator" w:id="0">
    <w:p w14:paraId="3A41FC7A" w14:textId="77777777" w:rsidR="00127B6C" w:rsidRDefault="00127B6C" w:rsidP="00731CC9">
      <w:r>
        <w:continuationSeparator/>
      </w:r>
    </w:p>
  </w:footnote>
  <w:footnote w:type="continuationNotice" w:id="1">
    <w:p w14:paraId="0E4BE0EE" w14:textId="77777777" w:rsidR="00127B6C" w:rsidRDefault="00127B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8155" w14:textId="21E6A914" w:rsidR="006564D5" w:rsidRDefault="006564D5">
    <w:pPr>
      <w:pStyle w:val="Header"/>
    </w:pPr>
    <w:r>
      <w:rPr>
        <w:noProof/>
      </w:rPr>
      <w:drawing>
        <wp:anchor distT="0" distB="0" distL="114300" distR="114300" simplePos="0" relativeHeight="251659264" behindDoc="1" locked="0" layoutInCell="1" allowOverlap="0" wp14:anchorId="28F12741" wp14:editId="11D328C1">
          <wp:simplePos x="0" y="0"/>
          <wp:positionH relativeFrom="page">
            <wp:align>left</wp:align>
          </wp:positionH>
          <wp:positionV relativeFrom="page">
            <wp:posOffset>11430</wp:posOffset>
          </wp:positionV>
          <wp:extent cx="7923600" cy="2242800"/>
          <wp:effectExtent l="0" t="0" r="1270" b="5715"/>
          <wp:wrapNone/>
          <wp:docPr id="11589832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8324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981" t="16651" r="137"/>
                  <a:stretch>
                    <a:fillRect/>
                  </a:stretch>
                </pic:blipFill>
                <pic:spPr bwMode="auto">
                  <a:xfrm>
                    <a:off x="0" y="0"/>
                    <a:ext cx="7923600" cy="224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F6087" w14:textId="477CC719" w:rsidR="005248FA" w:rsidRDefault="00524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A55F" w14:textId="07D5ED5C" w:rsidR="000E67B0" w:rsidRDefault="000E67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9959F" w14:textId="34FFA017" w:rsidR="004450F2" w:rsidRDefault="004450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FC55" w14:textId="4225AAF0" w:rsidR="000E4404" w:rsidRDefault="000E4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ED50E03"/>
    <w:multiLevelType w:val="hybridMultilevel"/>
    <w:tmpl w:val="94A2969A"/>
    <w:lvl w:ilvl="0" w:tplc="B54242C0">
      <w:start w:val="1"/>
      <w:numFmt w:val="bullet"/>
      <w:pStyle w:val="ListParagraph"/>
      <w:lvlText w:val="•"/>
      <w:lvlJc w:val="left"/>
      <w:pPr>
        <w:ind w:left="152" w:hanging="360"/>
      </w:pPr>
      <w:rPr>
        <w:rFonts w:ascii="Arial" w:hAnsi="Arial" w:hint="default"/>
        <w:color w:val="77216D"/>
      </w:rPr>
    </w:lvl>
    <w:lvl w:ilvl="1" w:tplc="FFFFFFFF">
      <w:start w:val="1"/>
      <w:numFmt w:val="bullet"/>
      <w:lvlText w:val="›"/>
      <w:lvlJc w:val="left"/>
      <w:pPr>
        <w:ind w:left="872" w:hanging="360"/>
      </w:pPr>
      <w:rPr>
        <w:rFonts w:ascii="Courier New" w:hAnsi="Courier New" w:hint="default"/>
        <w:color w:val="77216D"/>
      </w:rPr>
    </w:lvl>
    <w:lvl w:ilvl="2" w:tplc="FFFFFFFF">
      <w:start w:val="1"/>
      <w:numFmt w:val="bullet"/>
      <w:lvlText w:val=""/>
      <w:lvlJc w:val="left"/>
      <w:pPr>
        <w:ind w:left="1592" w:hanging="360"/>
      </w:pPr>
      <w:rPr>
        <w:rFonts w:ascii="Wingdings" w:hAnsi="Wingdings" w:hint="default"/>
      </w:rPr>
    </w:lvl>
    <w:lvl w:ilvl="3" w:tplc="FFFFFFFF" w:tentative="1">
      <w:start w:val="1"/>
      <w:numFmt w:val="bullet"/>
      <w:lvlText w:val=""/>
      <w:lvlJc w:val="left"/>
      <w:pPr>
        <w:ind w:left="2312" w:hanging="360"/>
      </w:pPr>
      <w:rPr>
        <w:rFonts w:ascii="Symbol" w:hAnsi="Symbol" w:hint="default"/>
      </w:rPr>
    </w:lvl>
    <w:lvl w:ilvl="4" w:tplc="FFFFFFFF" w:tentative="1">
      <w:start w:val="1"/>
      <w:numFmt w:val="bullet"/>
      <w:lvlText w:val="o"/>
      <w:lvlJc w:val="left"/>
      <w:pPr>
        <w:ind w:left="3032" w:hanging="360"/>
      </w:pPr>
      <w:rPr>
        <w:rFonts w:ascii="Courier New" w:hAnsi="Courier New" w:cs="Courier New" w:hint="default"/>
      </w:rPr>
    </w:lvl>
    <w:lvl w:ilvl="5" w:tplc="FFFFFFFF" w:tentative="1">
      <w:start w:val="1"/>
      <w:numFmt w:val="bullet"/>
      <w:lvlText w:val=""/>
      <w:lvlJc w:val="left"/>
      <w:pPr>
        <w:ind w:left="3752" w:hanging="360"/>
      </w:pPr>
      <w:rPr>
        <w:rFonts w:ascii="Wingdings" w:hAnsi="Wingdings" w:hint="default"/>
      </w:rPr>
    </w:lvl>
    <w:lvl w:ilvl="6" w:tplc="FFFFFFFF" w:tentative="1">
      <w:start w:val="1"/>
      <w:numFmt w:val="bullet"/>
      <w:lvlText w:val=""/>
      <w:lvlJc w:val="left"/>
      <w:pPr>
        <w:ind w:left="4472" w:hanging="360"/>
      </w:pPr>
      <w:rPr>
        <w:rFonts w:ascii="Symbol" w:hAnsi="Symbol" w:hint="default"/>
      </w:rPr>
    </w:lvl>
    <w:lvl w:ilvl="7" w:tplc="FFFFFFFF" w:tentative="1">
      <w:start w:val="1"/>
      <w:numFmt w:val="bullet"/>
      <w:lvlText w:val="o"/>
      <w:lvlJc w:val="left"/>
      <w:pPr>
        <w:ind w:left="5192" w:hanging="360"/>
      </w:pPr>
      <w:rPr>
        <w:rFonts w:ascii="Courier New" w:hAnsi="Courier New" w:cs="Courier New" w:hint="default"/>
      </w:rPr>
    </w:lvl>
    <w:lvl w:ilvl="8" w:tplc="FFFFFFFF" w:tentative="1">
      <w:start w:val="1"/>
      <w:numFmt w:val="bullet"/>
      <w:lvlText w:val=""/>
      <w:lvlJc w:val="left"/>
      <w:pPr>
        <w:ind w:left="5912" w:hanging="360"/>
      </w:pPr>
      <w:rPr>
        <w:rFonts w:ascii="Wingdings" w:hAnsi="Wingdings" w:hint="default"/>
      </w:rPr>
    </w:lvl>
  </w:abstractNum>
  <w:abstractNum w:abstractNumId="2" w15:restartNumberingAfterBreak="0">
    <w:nsid w:val="5AD26341"/>
    <w:multiLevelType w:val="hybridMultilevel"/>
    <w:tmpl w:val="67A49654"/>
    <w:lvl w:ilvl="0" w:tplc="BB9CE42C">
      <w:start w:val="1"/>
      <w:numFmt w:val="decimal"/>
      <w:pStyle w:val="ListNumber"/>
      <w:lvlText w:val="%1."/>
      <w:lvlJc w:val="left"/>
      <w:pPr>
        <w:ind w:left="360" w:hanging="360"/>
      </w:pPr>
      <w:rPr>
        <w:color w:val="78226D" w:themeColor="accent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4413FB2"/>
    <w:multiLevelType w:val="hybridMultilevel"/>
    <w:tmpl w:val="7DBAC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9F74B3C"/>
    <w:multiLevelType w:val="multilevel"/>
    <w:tmpl w:val="8E62DE58"/>
    <w:lvl w:ilvl="0">
      <w:start w:val="1"/>
      <w:numFmt w:val="decimal"/>
      <w:pStyle w:val="Heading2"/>
      <w:lvlText w:val="%1."/>
      <w:lvlJc w:val="left"/>
      <w:pPr>
        <w:ind w:left="360" w:hanging="360"/>
      </w:pPr>
      <w:rPr>
        <w:rFonts w:hint="default"/>
        <w:b/>
        <w:bCs/>
        <w:i w:val="0"/>
        <w:iCs w:val="0"/>
      </w:rPr>
    </w:lvl>
    <w:lvl w:ilvl="1">
      <w:start w:val="1"/>
      <w:numFmt w:val="decimal"/>
      <w:pStyle w:val="Heading3"/>
      <w:isLgl/>
      <w:lvlText w:val="%1.%2"/>
      <w:lvlJc w:val="left"/>
      <w:pPr>
        <w:ind w:left="1320" w:hanging="6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num w:numId="1" w16cid:durableId="849174586">
    <w:abstractNumId w:val="2"/>
  </w:num>
  <w:num w:numId="2" w16cid:durableId="965621989">
    <w:abstractNumId w:val="0"/>
  </w:num>
  <w:num w:numId="3" w16cid:durableId="1134984692">
    <w:abstractNumId w:val="1"/>
  </w:num>
  <w:num w:numId="4" w16cid:durableId="1235823698">
    <w:abstractNumId w:val="3"/>
  </w:num>
  <w:num w:numId="5" w16cid:durableId="5347924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9F"/>
    <w:rsid w:val="00000C3F"/>
    <w:rsid w:val="000039EF"/>
    <w:rsid w:val="00004479"/>
    <w:rsid w:val="00014C1C"/>
    <w:rsid w:val="000157C7"/>
    <w:rsid w:val="0001673C"/>
    <w:rsid w:val="00017DEC"/>
    <w:rsid w:val="00020955"/>
    <w:rsid w:val="00023D88"/>
    <w:rsid w:val="00027B2F"/>
    <w:rsid w:val="0003080F"/>
    <w:rsid w:val="0003125C"/>
    <w:rsid w:val="00032806"/>
    <w:rsid w:val="00035B28"/>
    <w:rsid w:val="00035F70"/>
    <w:rsid w:val="000365B4"/>
    <w:rsid w:val="0004609C"/>
    <w:rsid w:val="00046AD9"/>
    <w:rsid w:val="00046B15"/>
    <w:rsid w:val="00047010"/>
    <w:rsid w:val="000500DE"/>
    <w:rsid w:val="00050934"/>
    <w:rsid w:val="00051ACB"/>
    <w:rsid w:val="00051E59"/>
    <w:rsid w:val="000576F3"/>
    <w:rsid w:val="00066F77"/>
    <w:rsid w:val="0007005B"/>
    <w:rsid w:val="000705BC"/>
    <w:rsid w:val="00071FC1"/>
    <w:rsid w:val="000764EE"/>
    <w:rsid w:val="00076EB9"/>
    <w:rsid w:val="00077FEB"/>
    <w:rsid w:val="00080612"/>
    <w:rsid w:val="000809AE"/>
    <w:rsid w:val="00090389"/>
    <w:rsid w:val="000906E1"/>
    <w:rsid w:val="000909E7"/>
    <w:rsid w:val="00090C09"/>
    <w:rsid w:val="00090CFF"/>
    <w:rsid w:val="000926B3"/>
    <w:rsid w:val="00095D3D"/>
    <w:rsid w:val="000A0D44"/>
    <w:rsid w:val="000A2A2C"/>
    <w:rsid w:val="000A6553"/>
    <w:rsid w:val="000C25B7"/>
    <w:rsid w:val="000C2709"/>
    <w:rsid w:val="000C3229"/>
    <w:rsid w:val="000C5641"/>
    <w:rsid w:val="000D2D7E"/>
    <w:rsid w:val="000D2E8C"/>
    <w:rsid w:val="000D40E1"/>
    <w:rsid w:val="000D4E70"/>
    <w:rsid w:val="000D5EA0"/>
    <w:rsid w:val="000E05AF"/>
    <w:rsid w:val="000E3065"/>
    <w:rsid w:val="000E4404"/>
    <w:rsid w:val="000E6795"/>
    <w:rsid w:val="000E67B0"/>
    <w:rsid w:val="000F2A6A"/>
    <w:rsid w:val="000F2F78"/>
    <w:rsid w:val="000F68FC"/>
    <w:rsid w:val="000F6A70"/>
    <w:rsid w:val="000F7C78"/>
    <w:rsid w:val="001012D9"/>
    <w:rsid w:val="001020F0"/>
    <w:rsid w:val="00105E61"/>
    <w:rsid w:val="001100DA"/>
    <w:rsid w:val="00113422"/>
    <w:rsid w:val="00114847"/>
    <w:rsid w:val="001163C5"/>
    <w:rsid w:val="001218EE"/>
    <w:rsid w:val="00121FDC"/>
    <w:rsid w:val="0012442F"/>
    <w:rsid w:val="0012591F"/>
    <w:rsid w:val="00127B6C"/>
    <w:rsid w:val="00130079"/>
    <w:rsid w:val="00130C4A"/>
    <w:rsid w:val="001347A7"/>
    <w:rsid w:val="00137C97"/>
    <w:rsid w:val="001403D7"/>
    <w:rsid w:val="00141EBA"/>
    <w:rsid w:val="00142B7D"/>
    <w:rsid w:val="00144885"/>
    <w:rsid w:val="001507BF"/>
    <w:rsid w:val="0015123A"/>
    <w:rsid w:val="001538A6"/>
    <w:rsid w:val="00155C0E"/>
    <w:rsid w:val="00155C81"/>
    <w:rsid w:val="00156E00"/>
    <w:rsid w:val="001574D0"/>
    <w:rsid w:val="00157EEB"/>
    <w:rsid w:val="00160F49"/>
    <w:rsid w:val="00163693"/>
    <w:rsid w:val="001641EA"/>
    <w:rsid w:val="001646F9"/>
    <w:rsid w:val="00164AA3"/>
    <w:rsid w:val="00165169"/>
    <w:rsid w:val="00165C74"/>
    <w:rsid w:val="00166EE6"/>
    <w:rsid w:val="001728D5"/>
    <w:rsid w:val="001752A6"/>
    <w:rsid w:val="00176FFC"/>
    <w:rsid w:val="001816B5"/>
    <w:rsid w:val="001846BF"/>
    <w:rsid w:val="001863CC"/>
    <w:rsid w:val="001910DD"/>
    <w:rsid w:val="00193959"/>
    <w:rsid w:val="00196388"/>
    <w:rsid w:val="001A1009"/>
    <w:rsid w:val="001A74F3"/>
    <w:rsid w:val="001B0340"/>
    <w:rsid w:val="001B3340"/>
    <w:rsid w:val="001B4225"/>
    <w:rsid w:val="001B468F"/>
    <w:rsid w:val="001B56A9"/>
    <w:rsid w:val="001B5CFA"/>
    <w:rsid w:val="001B6664"/>
    <w:rsid w:val="001B77F6"/>
    <w:rsid w:val="001C0E9A"/>
    <w:rsid w:val="001C0F71"/>
    <w:rsid w:val="001C1964"/>
    <w:rsid w:val="001C2FF0"/>
    <w:rsid w:val="001C6075"/>
    <w:rsid w:val="001D715D"/>
    <w:rsid w:val="001E083E"/>
    <w:rsid w:val="001E1BEB"/>
    <w:rsid w:val="001E464B"/>
    <w:rsid w:val="001E5194"/>
    <w:rsid w:val="001E57FE"/>
    <w:rsid w:val="001F17A3"/>
    <w:rsid w:val="001F312E"/>
    <w:rsid w:val="001F36C2"/>
    <w:rsid w:val="001F6F2D"/>
    <w:rsid w:val="0020122B"/>
    <w:rsid w:val="002015FD"/>
    <w:rsid w:val="00203468"/>
    <w:rsid w:val="00205DFF"/>
    <w:rsid w:val="00206177"/>
    <w:rsid w:val="00206669"/>
    <w:rsid w:val="00207192"/>
    <w:rsid w:val="00210818"/>
    <w:rsid w:val="002146A0"/>
    <w:rsid w:val="0021496B"/>
    <w:rsid w:val="002221F1"/>
    <w:rsid w:val="0022332D"/>
    <w:rsid w:val="00225F7A"/>
    <w:rsid w:val="002335EF"/>
    <w:rsid w:val="00240E82"/>
    <w:rsid w:val="002424D0"/>
    <w:rsid w:val="00246547"/>
    <w:rsid w:val="00246B03"/>
    <w:rsid w:val="00252131"/>
    <w:rsid w:val="00253502"/>
    <w:rsid w:val="0025595B"/>
    <w:rsid w:val="00255EBB"/>
    <w:rsid w:val="00260D42"/>
    <w:rsid w:val="00261B71"/>
    <w:rsid w:val="002625CA"/>
    <w:rsid w:val="00262FA3"/>
    <w:rsid w:val="00265911"/>
    <w:rsid w:val="00270DEF"/>
    <w:rsid w:val="00271EC0"/>
    <w:rsid w:val="00272910"/>
    <w:rsid w:val="00273272"/>
    <w:rsid w:val="00284FA6"/>
    <w:rsid w:val="00285315"/>
    <w:rsid w:val="0028718F"/>
    <w:rsid w:val="002872DF"/>
    <w:rsid w:val="002917CE"/>
    <w:rsid w:val="00294B27"/>
    <w:rsid w:val="00294EA9"/>
    <w:rsid w:val="002A3F25"/>
    <w:rsid w:val="002A61DC"/>
    <w:rsid w:val="002A69F8"/>
    <w:rsid w:val="002B5B1E"/>
    <w:rsid w:val="002C049A"/>
    <w:rsid w:val="002C37D3"/>
    <w:rsid w:val="002C4212"/>
    <w:rsid w:val="002C53E9"/>
    <w:rsid w:val="002C728E"/>
    <w:rsid w:val="002D13C9"/>
    <w:rsid w:val="002D2AC3"/>
    <w:rsid w:val="002D4BBC"/>
    <w:rsid w:val="002E2839"/>
    <w:rsid w:val="002E4DED"/>
    <w:rsid w:val="002E629A"/>
    <w:rsid w:val="002E724C"/>
    <w:rsid w:val="002F153A"/>
    <w:rsid w:val="002F293F"/>
    <w:rsid w:val="002F57B6"/>
    <w:rsid w:val="002F705D"/>
    <w:rsid w:val="003012BF"/>
    <w:rsid w:val="00301472"/>
    <w:rsid w:val="003015BF"/>
    <w:rsid w:val="00305C5A"/>
    <w:rsid w:val="00305CA4"/>
    <w:rsid w:val="00305D9A"/>
    <w:rsid w:val="00307515"/>
    <w:rsid w:val="00307D85"/>
    <w:rsid w:val="00307E37"/>
    <w:rsid w:val="003119E2"/>
    <w:rsid w:val="003139C6"/>
    <w:rsid w:val="0031505B"/>
    <w:rsid w:val="0031696A"/>
    <w:rsid w:val="0032036C"/>
    <w:rsid w:val="003204C8"/>
    <w:rsid w:val="0032346A"/>
    <w:rsid w:val="00325EF9"/>
    <w:rsid w:val="003310D1"/>
    <w:rsid w:val="0033577F"/>
    <w:rsid w:val="00335F11"/>
    <w:rsid w:val="003419C7"/>
    <w:rsid w:val="00341AD1"/>
    <w:rsid w:val="003421C8"/>
    <w:rsid w:val="00343E61"/>
    <w:rsid w:val="00345680"/>
    <w:rsid w:val="00350D97"/>
    <w:rsid w:val="003531C0"/>
    <w:rsid w:val="003536A4"/>
    <w:rsid w:val="00353ED9"/>
    <w:rsid w:val="003553B7"/>
    <w:rsid w:val="00356EEA"/>
    <w:rsid w:val="00357C74"/>
    <w:rsid w:val="00357DC3"/>
    <w:rsid w:val="003624F7"/>
    <w:rsid w:val="00365D5B"/>
    <w:rsid w:val="00366058"/>
    <w:rsid w:val="003765BF"/>
    <w:rsid w:val="003817F9"/>
    <w:rsid w:val="00382549"/>
    <w:rsid w:val="003979B0"/>
    <w:rsid w:val="003A57B2"/>
    <w:rsid w:val="003B20C5"/>
    <w:rsid w:val="003B7842"/>
    <w:rsid w:val="003C00BD"/>
    <w:rsid w:val="003C33D9"/>
    <w:rsid w:val="003C3B7E"/>
    <w:rsid w:val="003C78AF"/>
    <w:rsid w:val="003C7DCE"/>
    <w:rsid w:val="003C7DEC"/>
    <w:rsid w:val="003D042D"/>
    <w:rsid w:val="003D103C"/>
    <w:rsid w:val="003D1D9C"/>
    <w:rsid w:val="003D27EC"/>
    <w:rsid w:val="003D6DF8"/>
    <w:rsid w:val="003E002D"/>
    <w:rsid w:val="003E0482"/>
    <w:rsid w:val="003E0DAF"/>
    <w:rsid w:val="003E0F3D"/>
    <w:rsid w:val="003E303E"/>
    <w:rsid w:val="003F1207"/>
    <w:rsid w:val="003F4EB7"/>
    <w:rsid w:val="004018E4"/>
    <w:rsid w:val="00401B31"/>
    <w:rsid w:val="00402BC4"/>
    <w:rsid w:val="00405B59"/>
    <w:rsid w:val="00410B53"/>
    <w:rsid w:val="00413296"/>
    <w:rsid w:val="00413AE5"/>
    <w:rsid w:val="00416CD6"/>
    <w:rsid w:val="0042010E"/>
    <w:rsid w:val="004216E0"/>
    <w:rsid w:val="00421856"/>
    <w:rsid w:val="00427EC1"/>
    <w:rsid w:val="00430584"/>
    <w:rsid w:val="00431167"/>
    <w:rsid w:val="0043617C"/>
    <w:rsid w:val="00436741"/>
    <w:rsid w:val="004428A6"/>
    <w:rsid w:val="00442A48"/>
    <w:rsid w:val="0044373A"/>
    <w:rsid w:val="004437D5"/>
    <w:rsid w:val="00444D87"/>
    <w:rsid w:val="004450F2"/>
    <w:rsid w:val="00447CC0"/>
    <w:rsid w:val="00450361"/>
    <w:rsid w:val="004506D7"/>
    <w:rsid w:val="00450CC6"/>
    <w:rsid w:val="0045317D"/>
    <w:rsid w:val="00454844"/>
    <w:rsid w:val="00456AE8"/>
    <w:rsid w:val="00457833"/>
    <w:rsid w:val="0046074F"/>
    <w:rsid w:val="00461211"/>
    <w:rsid w:val="00463E2F"/>
    <w:rsid w:val="00464B60"/>
    <w:rsid w:val="00466918"/>
    <w:rsid w:val="0046723F"/>
    <w:rsid w:val="00477CEE"/>
    <w:rsid w:val="00480709"/>
    <w:rsid w:val="00480B97"/>
    <w:rsid w:val="004821D5"/>
    <w:rsid w:val="00485DE2"/>
    <w:rsid w:val="00485F52"/>
    <w:rsid w:val="00487748"/>
    <w:rsid w:val="00490480"/>
    <w:rsid w:val="004905C6"/>
    <w:rsid w:val="00491B61"/>
    <w:rsid w:val="00492F2C"/>
    <w:rsid w:val="00497821"/>
    <w:rsid w:val="00497B4C"/>
    <w:rsid w:val="004A2004"/>
    <w:rsid w:val="004A2F01"/>
    <w:rsid w:val="004A7E9D"/>
    <w:rsid w:val="004B0B47"/>
    <w:rsid w:val="004B2386"/>
    <w:rsid w:val="004B482A"/>
    <w:rsid w:val="004B7044"/>
    <w:rsid w:val="004B7FC5"/>
    <w:rsid w:val="004C09FA"/>
    <w:rsid w:val="004C1BE3"/>
    <w:rsid w:val="004C1EED"/>
    <w:rsid w:val="004C336B"/>
    <w:rsid w:val="004C3A6A"/>
    <w:rsid w:val="004D112D"/>
    <w:rsid w:val="004D2E1F"/>
    <w:rsid w:val="004D7715"/>
    <w:rsid w:val="004D7DF6"/>
    <w:rsid w:val="004E13ED"/>
    <w:rsid w:val="004E31B5"/>
    <w:rsid w:val="004E40AD"/>
    <w:rsid w:val="004F2206"/>
    <w:rsid w:val="004F4DF2"/>
    <w:rsid w:val="00504151"/>
    <w:rsid w:val="00506C26"/>
    <w:rsid w:val="005128D6"/>
    <w:rsid w:val="005129CA"/>
    <w:rsid w:val="00513F26"/>
    <w:rsid w:val="00514CC7"/>
    <w:rsid w:val="00515D1C"/>
    <w:rsid w:val="005232A7"/>
    <w:rsid w:val="0052353F"/>
    <w:rsid w:val="00523881"/>
    <w:rsid w:val="00524706"/>
    <w:rsid w:val="005248FA"/>
    <w:rsid w:val="00524F6E"/>
    <w:rsid w:val="00527902"/>
    <w:rsid w:val="005302DC"/>
    <w:rsid w:val="00530564"/>
    <w:rsid w:val="0053089E"/>
    <w:rsid w:val="00541B7D"/>
    <w:rsid w:val="00541FB9"/>
    <w:rsid w:val="00542ACF"/>
    <w:rsid w:val="005462CF"/>
    <w:rsid w:val="00547634"/>
    <w:rsid w:val="00554DCE"/>
    <w:rsid w:val="005559BD"/>
    <w:rsid w:val="00562364"/>
    <w:rsid w:val="0056375D"/>
    <w:rsid w:val="005647D2"/>
    <w:rsid w:val="005651E1"/>
    <w:rsid w:val="00573118"/>
    <w:rsid w:val="005752A7"/>
    <w:rsid w:val="00577BA2"/>
    <w:rsid w:val="00581C6A"/>
    <w:rsid w:val="005846F2"/>
    <w:rsid w:val="005866A6"/>
    <w:rsid w:val="0059169A"/>
    <w:rsid w:val="00592C1E"/>
    <w:rsid w:val="005934F3"/>
    <w:rsid w:val="00594B80"/>
    <w:rsid w:val="00597391"/>
    <w:rsid w:val="005A2186"/>
    <w:rsid w:val="005A23F1"/>
    <w:rsid w:val="005A2A1F"/>
    <w:rsid w:val="005A3A8D"/>
    <w:rsid w:val="005A663C"/>
    <w:rsid w:val="005A6A44"/>
    <w:rsid w:val="005A712E"/>
    <w:rsid w:val="005B0279"/>
    <w:rsid w:val="005B12CA"/>
    <w:rsid w:val="005B1CFE"/>
    <w:rsid w:val="005B406F"/>
    <w:rsid w:val="005B5B92"/>
    <w:rsid w:val="005C0562"/>
    <w:rsid w:val="005C19BD"/>
    <w:rsid w:val="005C2730"/>
    <w:rsid w:val="005C40ED"/>
    <w:rsid w:val="005C57CA"/>
    <w:rsid w:val="005C7EDF"/>
    <w:rsid w:val="005D1168"/>
    <w:rsid w:val="005D3D81"/>
    <w:rsid w:val="005D434A"/>
    <w:rsid w:val="005D630C"/>
    <w:rsid w:val="005E2954"/>
    <w:rsid w:val="005E359E"/>
    <w:rsid w:val="005E5108"/>
    <w:rsid w:val="005E75B1"/>
    <w:rsid w:val="005E7CEA"/>
    <w:rsid w:val="005F0497"/>
    <w:rsid w:val="005F25E4"/>
    <w:rsid w:val="005F2C6D"/>
    <w:rsid w:val="005F7D2C"/>
    <w:rsid w:val="00600778"/>
    <w:rsid w:val="00603379"/>
    <w:rsid w:val="0061236F"/>
    <w:rsid w:val="00613D49"/>
    <w:rsid w:val="006154D4"/>
    <w:rsid w:val="00621415"/>
    <w:rsid w:val="00626582"/>
    <w:rsid w:val="006278C8"/>
    <w:rsid w:val="006304A0"/>
    <w:rsid w:val="006340B0"/>
    <w:rsid w:val="00635CB3"/>
    <w:rsid w:val="00636242"/>
    <w:rsid w:val="00637E5A"/>
    <w:rsid w:val="00643816"/>
    <w:rsid w:val="00643F5F"/>
    <w:rsid w:val="00645A34"/>
    <w:rsid w:val="006460F7"/>
    <w:rsid w:val="00647D11"/>
    <w:rsid w:val="00647F25"/>
    <w:rsid w:val="006501E8"/>
    <w:rsid w:val="006513E3"/>
    <w:rsid w:val="006541F4"/>
    <w:rsid w:val="00654EC8"/>
    <w:rsid w:val="006553D7"/>
    <w:rsid w:val="006564D5"/>
    <w:rsid w:val="00661801"/>
    <w:rsid w:val="00664B06"/>
    <w:rsid w:val="006658D1"/>
    <w:rsid w:val="00667037"/>
    <w:rsid w:val="0066718B"/>
    <w:rsid w:val="0067157A"/>
    <w:rsid w:val="00671A83"/>
    <w:rsid w:val="00673604"/>
    <w:rsid w:val="0067420B"/>
    <w:rsid w:val="00674955"/>
    <w:rsid w:val="0067547B"/>
    <w:rsid w:val="00680D57"/>
    <w:rsid w:val="00680F49"/>
    <w:rsid w:val="006824C2"/>
    <w:rsid w:val="00682A84"/>
    <w:rsid w:val="0068679A"/>
    <w:rsid w:val="006966BD"/>
    <w:rsid w:val="006A0511"/>
    <w:rsid w:val="006A0828"/>
    <w:rsid w:val="006A3B0F"/>
    <w:rsid w:val="006A50A4"/>
    <w:rsid w:val="006A6BA0"/>
    <w:rsid w:val="006A78CE"/>
    <w:rsid w:val="006A7C94"/>
    <w:rsid w:val="006B1A5B"/>
    <w:rsid w:val="006B7D7D"/>
    <w:rsid w:val="006C1BC1"/>
    <w:rsid w:val="006C1CAE"/>
    <w:rsid w:val="006C2604"/>
    <w:rsid w:val="006C2A7E"/>
    <w:rsid w:val="006C2BE8"/>
    <w:rsid w:val="006D2029"/>
    <w:rsid w:val="006D5AF8"/>
    <w:rsid w:val="006F01D4"/>
    <w:rsid w:val="006F17F1"/>
    <w:rsid w:val="006F38F7"/>
    <w:rsid w:val="007023F7"/>
    <w:rsid w:val="007070BD"/>
    <w:rsid w:val="0071004C"/>
    <w:rsid w:val="00714171"/>
    <w:rsid w:val="00714260"/>
    <w:rsid w:val="007143C3"/>
    <w:rsid w:val="00714E76"/>
    <w:rsid w:val="007174A6"/>
    <w:rsid w:val="0072179F"/>
    <w:rsid w:val="007261C9"/>
    <w:rsid w:val="00726F33"/>
    <w:rsid w:val="00727542"/>
    <w:rsid w:val="0073076D"/>
    <w:rsid w:val="007308BE"/>
    <w:rsid w:val="00731CC9"/>
    <w:rsid w:val="0073374C"/>
    <w:rsid w:val="00733D75"/>
    <w:rsid w:val="0073449D"/>
    <w:rsid w:val="00737A58"/>
    <w:rsid w:val="007433DE"/>
    <w:rsid w:val="00744BA8"/>
    <w:rsid w:val="00745CD0"/>
    <w:rsid w:val="00745DE5"/>
    <w:rsid w:val="00746942"/>
    <w:rsid w:val="00747406"/>
    <w:rsid w:val="00750378"/>
    <w:rsid w:val="00751A0F"/>
    <w:rsid w:val="007549E9"/>
    <w:rsid w:val="0076125D"/>
    <w:rsid w:val="00761C37"/>
    <w:rsid w:val="00762470"/>
    <w:rsid w:val="00763AA4"/>
    <w:rsid w:val="00764184"/>
    <w:rsid w:val="007644B9"/>
    <w:rsid w:val="00764E25"/>
    <w:rsid w:val="007650B6"/>
    <w:rsid w:val="00766426"/>
    <w:rsid w:val="00770A31"/>
    <w:rsid w:val="0077548E"/>
    <w:rsid w:val="00775EEB"/>
    <w:rsid w:val="00776B20"/>
    <w:rsid w:val="00782E55"/>
    <w:rsid w:val="00785316"/>
    <w:rsid w:val="00785DBD"/>
    <w:rsid w:val="00786F02"/>
    <w:rsid w:val="00787406"/>
    <w:rsid w:val="007878BB"/>
    <w:rsid w:val="0079317A"/>
    <w:rsid w:val="00797FA2"/>
    <w:rsid w:val="007A031E"/>
    <w:rsid w:val="007A1960"/>
    <w:rsid w:val="007A7F6D"/>
    <w:rsid w:val="007B3AA6"/>
    <w:rsid w:val="007B5303"/>
    <w:rsid w:val="007B5E9C"/>
    <w:rsid w:val="007B620B"/>
    <w:rsid w:val="007C21C5"/>
    <w:rsid w:val="007C310C"/>
    <w:rsid w:val="007C7191"/>
    <w:rsid w:val="007C7768"/>
    <w:rsid w:val="007D098E"/>
    <w:rsid w:val="007D390E"/>
    <w:rsid w:val="007D43F2"/>
    <w:rsid w:val="007D699B"/>
    <w:rsid w:val="007F2EC8"/>
    <w:rsid w:val="007F4DE4"/>
    <w:rsid w:val="00802AB9"/>
    <w:rsid w:val="00805CBA"/>
    <w:rsid w:val="00806462"/>
    <w:rsid w:val="008118A4"/>
    <w:rsid w:val="008218CB"/>
    <w:rsid w:val="00821B44"/>
    <w:rsid w:val="00824D8B"/>
    <w:rsid w:val="00836A1F"/>
    <w:rsid w:val="00840644"/>
    <w:rsid w:val="00842372"/>
    <w:rsid w:val="00845DE6"/>
    <w:rsid w:val="0084600E"/>
    <w:rsid w:val="00852AD6"/>
    <w:rsid w:val="00853F04"/>
    <w:rsid w:val="00854102"/>
    <w:rsid w:val="0085602A"/>
    <w:rsid w:val="008575D2"/>
    <w:rsid w:val="00857F5D"/>
    <w:rsid w:val="0086192C"/>
    <w:rsid w:val="00865863"/>
    <w:rsid w:val="00871032"/>
    <w:rsid w:val="00873C42"/>
    <w:rsid w:val="008754C2"/>
    <w:rsid w:val="00875A3D"/>
    <w:rsid w:val="00883ADA"/>
    <w:rsid w:val="00883F68"/>
    <w:rsid w:val="00890E99"/>
    <w:rsid w:val="008921E4"/>
    <w:rsid w:val="00894D45"/>
    <w:rsid w:val="008965C9"/>
    <w:rsid w:val="00897AB7"/>
    <w:rsid w:val="008A0D73"/>
    <w:rsid w:val="008A3E23"/>
    <w:rsid w:val="008A5921"/>
    <w:rsid w:val="008A6352"/>
    <w:rsid w:val="008A7BFF"/>
    <w:rsid w:val="008B1EC1"/>
    <w:rsid w:val="008B1FE4"/>
    <w:rsid w:val="008B54EF"/>
    <w:rsid w:val="008C178D"/>
    <w:rsid w:val="008C2D96"/>
    <w:rsid w:val="008C2E14"/>
    <w:rsid w:val="008C3E3C"/>
    <w:rsid w:val="008C4B3C"/>
    <w:rsid w:val="008C685E"/>
    <w:rsid w:val="008D2AF3"/>
    <w:rsid w:val="008D4A09"/>
    <w:rsid w:val="008D6E8E"/>
    <w:rsid w:val="008E0976"/>
    <w:rsid w:val="008E111B"/>
    <w:rsid w:val="008E2685"/>
    <w:rsid w:val="008E7135"/>
    <w:rsid w:val="008E7E36"/>
    <w:rsid w:val="008F4A58"/>
    <w:rsid w:val="008F6944"/>
    <w:rsid w:val="00902875"/>
    <w:rsid w:val="009057D9"/>
    <w:rsid w:val="00906755"/>
    <w:rsid w:val="009073A0"/>
    <w:rsid w:val="009078F5"/>
    <w:rsid w:val="00907927"/>
    <w:rsid w:val="00910CB4"/>
    <w:rsid w:val="00911087"/>
    <w:rsid w:val="00912FBB"/>
    <w:rsid w:val="009179E4"/>
    <w:rsid w:val="00917B0A"/>
    <w:rsid w:val="00921801"/>
    <w:rsid w:val="00923BAF"/>
    <w:rsid w:val="00924BC7"/>
    <w:rsid w:val="00930098"/>
    <w:rsid w:val="00934374"/>
    <w:rsid w:val="009347CB"/>
    <w:rsid w:val="00942025"/>
    <w:rsid w:val="009457AD"/>
    <w:rsid w:val="0094649C"/>
    <w:rsid w:val="00956D02"/>
    <w:rsid w:val="00972924"/>
    <w:rsid w:val="00973A12"/>
    <w:rsid w:val="00973E21"/>
    <w:rsid w:val="00975D95"/>
    <w:rsid w:val="00982B9F"/>
    <w:rsid w:val="009912D9"/>
    <w:rsid w:val="00992E75"/>
    <w:rsid w:val="009A0293"/>
    <w:rsid w:val="009A1D42"/>
    <w:rsid w:val="009A60A4"/>
    <w:rsid w:val="009A7A2E"/>
    <w:rsid w:val="009B1662"/>
    <w:rsid w:val="009B1D25"/>
    <w:rsid w:val="009B2ED7"/>
    <w:rsid w:val="009B4FF1"/>
    <w:rsid w:val="009C0171"/>
    <w:rsid w:val="009C5440"/>
    <w:rsid w:val="009C5F78"/>
    <w:rsid w:val="009D122C"/>
    <w:rsid w:val="009D1876"/>
    <w:rsid w:val="009E06A7"/>
    <w:rsid w:val="009E123B"/>
    <w:rsid w:val="009E139C"/>
    <w:rsid w:val="009E273B"/>
    <w:rsid w:val="009E4F05"/>
    <w:rsid w:val="009E6404"/>
    <w:rsid w:val="009E6B6C"/>
    <w:rsid w:val="009E783E"/>
    <w:rsid w:val="009F1532"/>
    <w:rsid w:val="00A0265B"/>
    <w:rsid w:val="00A02A48"/>
    <w:rsid w:val="00A02E44"/>
    <w:rsid w:val="00A04606"/>
    <w:rsid w:val="00A04C2E"/>
    <w:rsid w:val="00A06078"/>
    <w:rsid w:val="00A06FE8"/>
    <w:rsid w:val="00A10AEA"/>
    <w:rsid w:val="00A10CCD"/>
    <w:rsid w:val="00A12481"/>
    <w:rsid w:val="00A17031"/>
    <w:rsid w:val="00A207CC"/>
    <w:rsid w:val="00A22022"/>
    <w:rsid w:val="00A23ACF"/>
    <w:rsid w:val="00A30001"/>
    <w:rsid w:val="00A30F05"/>
    <w:rsid w:val="00A37BC5"/>
    <w:rsid w:val="00A42ECE"/>
    <w:rsid w:val="00A45680"/>
    <w:rsid w:val="00A5199F"/>
    <w:rsid w:val="00A51D7A"/>
    <w:rsid w:val="00A54C29"/>
    <w:rsid w:val="00A57738"/>
    <w:rsid w:val="00A57F45"/>
    <w:rsid w:val="00A620DF"/>
    <w:rsid w:val="00A705D8"/>
    <w:rsid w:val="00A75C60"/>
    <w:rsid w:val="00A77444"/>
    <w:rsid w:val="00A81120"/>
    <w:rsid w:val="00A815D7"/>
    <w:rsid w:val="00A81EE0"/>
    <w:rsid w:val="00A90FF5"/>
    <w:rsid w:val="00A91707"/>
    <w:rsid w:val="00A92AF1"/>
    <w:rsid w:val="00A947B0"/>
    <w:rsid w:val="00A97524"/>
    <w:rsid w:val="00AA1707"/>
    <w:rsid w:val="00AA3933"/>
    <w:rsid w:val="00AB152B"/>
    <w:rsid w:val="00AB1A71"/>
    <w:rsid w:val="00AB560D"/>
    <w:rsid w:val="00AB5A91"/>
    <w:rsid w:val="00AB623B"/>
    <w:rsid w:val="00AC48D4"/>
    <w:rsid w:val="00AD1624"/>
    <w:rsid w:val="00AD37EB"/>
    <w:rsid w:val="00AD57AE"/>
    <w:rsid w:val="00AD5E69"/>
    <w:rsid w:val="00AE3336"/>
    <w:rsid w:val="00AE3665"/>
    <w:rsid w:val="00AE3736"/>
    <w:rsid w:val="00AE3D66"/>
    <w:rsid w:val="00AE5D9D"/>
    <w:rsid w:val="00AE6A81"/>
    <w:rsid w:val="00AF60FC"/>
    <w:rsid w:val="00AF6759"/>
    <w:rsid w:val="00AF7FDD"/>
    <w:rsid w:val="00B04E96"/>
    <w:rsid w:val="00B063CC"/>
    <w:rsid w:val="00B10A17"/>
    <w:rsid w:val="00B110E2"/>
    <w:rsid w:val="00B1334B"/>
    <w:rsid w:val="00B168E4"/>
    <w:rsid w:val="00B177D1"/>
    <w:rsid w:val="00B21EE1"/>
    <w:rsid w:val="00B25570"/>
    <w:rsid w:val="00B31FFE"/>
    <w:rsid w:val="00B3265D"/>
    <w:rsid w:val="00B413B6"/>
    <w:rsid w:val="00B4418C"/>
    <w:rsid w:val="00B44B3E"/>
    <w:rsid w:val="00B4514F"/>
    <w:rsid w:val="00B45D4B"/>
    <w:rsid w:val="00B4610E"/>
    <w:rsid w:val="00B468B2"/>
    <w:rsid w:val="00B5000B"/>
    <w:rsid w:val="00B516EF"/>
    <w:rsid w:val="00B52731"/>
    <w:rsid w:val="00B60253"/>
    <w:rsid w:val="00B60423"/>
    <w:rsid w:val="00B61F34"/>
    <w:rsid w:val="00B644BB"/>
    <w:rsid w:val="00B74A98"/>
    <w:rsid w:val="00B76712"/>
    <w:rsid w:val="00B77A7E"/>
    <w:rsid w:val="00B802BD"/>
    <w:rsid w:val="00B83356"/>
    <w:rsid w:val="00B86922"/>
    <w:rsid w:val="00B86CED"/>
    <w:rsid w:val="00B87558"/>
    <w:rsid w:val="00B901BA"/>
    <w:rsid w:val="00B90A02"/>
    <w:rsid w:val="00B94C49"/>
    <w:rsid w:val="00B9587F"/>
    <w:rsid w:val="00B967CC"/>
    <w:rsid w:val="00B96C95"/>
    <w:rsid w:val="00B96D32"/>
    <w:rsid w:val="00BA0FC0"/>
    <w:rsid w:val="00BA21DA"/>
    <w:rsid w:val="00BA2D4A"/>
    <w:rsid w:val="00BA6F44"/>
    <w:rsid w:val="00BB00FF"/>
    <w:rsid w:val="00BB2304"/>
    <w:rsid w:val="00BB43C6"/>
    <w:rsid w:val="00BB6E91"/>
    <w:rsid w:val="00BD0E0F"/>
    <w:rsid w:val="00BD475C"/>
    <w:rsid w:val="00BD5E4B"/>
    <w:rsid w:val="00BD6A00"/>
    <w:rsid w:val="00BE0724"/>
    <w:rsid w:val="00BE299A"/>
    <w:rsid w:val="00BE5064"/>
    <w:rsid w:val="00BE563F"/>
    <w:rsid w:val="00C02478"/>
    <w:rsid w:val="00C02FD2"/>
    <w:rsid w:val="00C052F7"/>
    <w:rsid w:val="00C0736A"/>
    <w:rsid w:val="00C11541"/>
    <w:rsid w:val="00C14F64"/>
    <w:rsid w:val="00C1711E"/>
    <w:rsid w:val="00C2181D"/>
    <w:rsid w:val="00C22C89"/>
    <w:rsid w:val="00C2392B"/>
    <w:rsid w:val="00C25D71"/>
    <w:rsid w:val="00C30870"/>
    <w:rsid w:val="00C317A2"/>
    <w:rsid w:val="00C34463"/>
    <w:rsid w:val="00C42F0E"/>
    <w:rsid w:val="00C45E65"/>
    <w:rsid w:val="00C5158B"/>
    <w:rsid w:val="00C53C09"/>
    <w:rsid w:val="00C54FED"/>
    <w:rsid w:val="00C56B8A"/>
    <w:rsid w:val="00C60057"/>
    <w:rsid w:val="00C60C82"/>
    <w:rsid w:val="00C61398"/>
    <w:rsid w:val="00C65359"/>
    <w:rsid w:val="00C662E6"/>
    <w:rsid w:val="00C713AC"/>
    <w:rsid w:val="00C73308"/>
    <w:rsid w:val="00C73540"/>
    <w:rsid w:val="00C8041A"/>
    <w:rsid w:val="00C86A77"/>
    <w:rsid w:val="00C8790B"/>
    <w:rsid w:val="00C9125A"/>
    <w:rsid w:val="00C93C44"/>
    <w:rsid w:val="00C9527D"/>
    <w:rsid w:val="00C95D97"/>
    <w:rsid w:val="00CA16B3"/>
    <w:rsid w:val="00CA31FF"/>
    <w:rsid w:val="00CA6889"/>
    <w:rsid w:val="00CA68DC"/>
    <w:rsid w:val="00CB2AF5"/>
    <w:rsid w:val="00CB2FDA"/>
    <w:rsid w:val="00CC0FB6"/>
    <w:rsid w:val="00CC31C2"/>
    <w:rsid w:val="00CC4505"/>
    <w:rsid w:val="00CC4DDC"/>
    <w:rsid w:val="00CC6925"/>
    <w:rsid w:val="00CD2819"/>
    <w:rsid w:val="00CD6059"/>
    <w:rsid w:val="00CE1B86"/>
    <w:rsid w:val="00CE2086"/>
    <w:rsid w:val="00CE6E9C"/>
    <w:rsid w:val="00CE788E"/>
    <w:rsid w:val="00CF0BE4"/>
    <w:rsid w:val="00CF3135"/>
    <w:rsid w:val="00D008C8"/>
    <w:rsid w:val="00D0164A"/>
    <w:rsid w:val="00D05EEC"/>
    <w:rsid w:val="00D06F1F"/>
    <w:rsid w:val="00D11A51"/>
    <w:rsid w:val="00D11BF7"/>
    <w:rsid w:val="00D13699"/>
    <w:rsid w:val="00D212D3"/>
    <w:rsid w:val="00D275D7"/>
    <w:rsid w:val="00D2768B"/>
    <w:rsid w:val="00D304C7"/>
    <w:rsid w:val="00D30BBE"/>
    <w:rsid w:val="00D32521"/>
    <w:rsid w:val="00D330E5"/>
    <w:rsid w:val="00D33642"/>
    <w:rsid w:val="00D36950"/>
    <w:rsid w:val="00D417D7"/>
    <w:rsid w:val="00D4379F"/>
    <w:rsid w:val="00D45CB1"/>
    <w:rsid w:val="00D4666B"/>
    <w:rsid w:val="00D475E0"/>
    <w:rsid w:val="00D4792E"/>
    <w:rsid w:val="00D506BB"/>
    <w:rsid w:val="00D51A20"/>
    <w:rsid w:val="00D53C77"/>
    <w:rsid w:val="00D5574F"/>
    <w:rsid w:val="00D61395"/>
    <w:rsid w:val="00D63336"/>
    <w:rsid w:val="00D633C2"/>
    <w:rsid w:val="00D67234"/>
    <w:rsid w:val="00D75776"/>
    <w:rsid w:val="00D76572"/>
    <w:rsid w:val="00D767A3"/>
    <w:rsid w:val="00D83226"/>
    <w:rsid w:val="00D83765"/>
    <w:rsid w:val="00D854E3"/>
    <w:rsid w:val="00D86253"/>
    <w:rsid w:val="00D912F2"/>
    <w:rsid w:val="00D925E5"/>
    <w:rsid w:val="00D9503C"/>
    <w:rsid w:val="00D96DED"/>
    <w:rsid w:val="00DA15F2"/>
    <w:rsid w:val="00DA25B8"/>
    <w:rsid w:val="00DA3B8F"/>
    <w:rsid w:val="00DA4E91"/>
    <w:rsid w:val="00DB2838"/>
    <w:rsid w:val="00DB4290"/>
    <w:rsid w:val="00DB727E"/>
    <w:rsid w:val="00DB7B8F"/>
    <w:rsid w:val="00DC28D7"/>
    <w:rsid w:val="00DC2AF4"/>
    <w:rsid w:val="00DC6941"/>
    <w:rsid w:val="00DD27F9"/>
    <w:rsid w:val="00DD4801"/>
    <w:rsid w:val="00DD61A3"/>
    <w:rsid w:val="00DE1927"/>
    <w:rsid w:val="00DE2FB2"/>
    <w:rsid w:val="00DE5032"/>
    <w:rsid w:val="00DE558D"/>
    <w:rsid w:val="00DF1214"/>
    <w:rsid w:val="00DF4818"/>
    <w:rsid w:val="00DF5BA7"/>
    <w:rsid w:val="00E00962"/>
    <w:rsid w:val="00E009B5"/>
    <w:rsid w:val="00E02C35"/>
    <w:rsid w:val="00E03EB8"/>
    <w:rsid w:val="00E0562F"/>
    <w:rsid w:val="00E05829"/>
    <w:rsid w:val="00E07FE8"/>
    <w:rsid w:val="00E12AB7"/>
    <w:rsid w:val="00E1312B"/>
    <w:rsid w:val="00E13DA6"/>
    <w:rsid w:val="00E147A1"/>
    <w:rsid w:val="00E149BA"/>
    <w:rsid w:val="00E15ECF"/>
    <w:rsid w:val="00E175B4"/>
    <w:rsid w:val="00E272C6"/>
    <w:rsid w:val="00E32B11"/>
    <w:rsid w:val="00E34D4F"/>
    <w:rsid w:val="00E37E87"/>
    <w:rsid w:val="00E41C93"/>
    <w:rsid w:val="00E41EE0"/>
    <w:rsid w:val="00E464A3"/>
    <w:rsid w:val="00E4706A"/>
    <w:rsid w:val="00E5011E"/>
    <w:rsid w:val="00E51A78"/>
    <w:rsid w:val="00E52F75"/>
    <w:rsid w:val="00E55A18"/>
    <w:rsid w:val="00E65915"/>
    <w:rsid w:val="00E6670C"/>
    <w:rsid w:val="00E71942"/>
    <w:rsid w:val="00E7245A"/>
    <w:rsid w:val="00E730EB"/>
    <w:rsid w:val="00E734B2"/>
    <w:rsid w:val="00E74152"/>
    <w:rsid w:val="00E745D9"/>
    <w:rsid w:val="00E76F50"/>
    <w:rsid w:val="00E83A88"/>
    <w:rsid w:val="00E87DE2"/>
    <w:rsid w:val="00EA189D"/>
    <w:rsid w:val="00EA1E18"/>
    <w:rsid w:val="00EA3B5F"/>
    <w:rsid w:val="00EA7C67"/>
    <w:rsid w:val="00EB48B4"/>
    <w:rsid w:val="00EB67D1"/>
    <w:rsid w:val="00EC141A"/>
    <w:rsid w:val="00EC255F"/>
    <w:rsid w:val="00EC34DD"/>
    <w:rsid w:val="00EC60A0"/>
    <w:rsid w:val="00EC6828"/>
    <w:rsid w:val="00ED08ED"/>
    <w:rsid w:val="00ED1525"/>
    <w:rsid w:val="00ED309B"/>
    <w:rsid w:val="00EE0EFF"/>
    <w:rsid w:val="00EE14AA"/>
    <w:rsid w:val="00EE5053"/>
    <w:rsid w:val="00EE75E3"/>
    <w:rsid w:val="00EF23E7"/>
    <w:rsid w:val="00EF534F"/>
    <w:rsid w:val="00EF5FCB"/>
    <w:rsid w:val="00EF7613"/>
    <w:rsid w:val="00EF7792"/>
    <w:rsid w:val="00EF7869"/>
    <w:rsid w:val="00F02E70"/>
    <w:rsid w:val="00F03998"/>
    <w:rsid w:val="00F05F83"/>
    <w:rsid w:val="00F060C4"/>
    <w:rsid w:val="00F075D6"/>
    <w:rsid w:val="00F075E4"/>
    <w:rsid w:val="00F10CAF"/>
    <w:rsid w:val="00F11E66"/>
    <w:rsid w:val="00F1302A"/>
    <w:rsid w:val="00F15035"/>
    <w:rsid w:val="00F168C5"/>
    <w:rsid w:val="00F20485"/>
    <w:rsid w:val="00F21A7B"/>
    <w:rsid w:val="00F23BF2"/>
    <w:rsid w:val="00F2781E"/>
    <w:rsid w:val="00F3205E"/>
    <w:rsid w:val="00F32F1E"/>
    <w:rsid w:val="00F3357E"/>
    <w:rsid w:val="00F37E78"/>
    <w:rsid w:val="00F42226"/>
    <w:rsid w:val="00F431C0"/>
    <w:rsid w:val="00F44B54"/>
    <w:rsid w:val="00F46DBD"/>
    <w:rsid w:val="00F47EAE"/>
    <w:rsid w:val="00F500F6"/>
    <w:rsid w:val="00F579A7"/>
    <w:rsid w:val="00F630DE"/>
    <w:rsid w:val="00F632BE"/>
    <w:rsid w:val="00F63E30"/>
    <w:rsid w:val="00F64DE3"/>
    <w:rsid w:val="00F67200"/>
    <w:rsid w:val="00F76C5C"/>
    <w:rsid w:val="00F815A8"/>
    <w:rsid w:val="00F818E4"/>
    <w:rsid w:val="00F84686"/>
    <w:rsid w:val="00F8665A"/>
    <w:rsid w:val="00F90986"/>
    <w:rsid w:val="00FA1035"/>
    <w:rsid w:val="00FA4DA1"/>
    <w:rsid w:val="00FA7DF4"/>
    <w:rsid w:val="00FB1E42"/>
    <w:rsid w:val="00FB42AA"/>
    <w:rsid w:val="00FB5D24"/>
    <w:rsid w:val="00FB6041"/>
    <w:rsid w:val="00FB7C59"/>
    <w:rsid w:val="00FC4A1E"/>
    <w:rsid w:val="00FC505D"/>
    <w:rsid w:val="00FC5C43"/>
    <w:rsid w:val="00FC5F9B"/>
    <w:rsid w:val="00FC6BBA"/>
    <w:rsid w:val="00FD0E7F"/>
    <w:rsid w:val="00FD56DE"/>
    <w:rsid w:val="00FE00F8"/>
    <w:rsid w:val="00FE041D"/>
    <w:rsid w:val="00FE2D1D"/>
    <w:rsid w:val="00FE41A5"/>
    <w:rsid w:val="00FE4542"/>
    <w:rsid w:val="00FE6DE2"/>
    <w:rsid w:val="00FF2E74"/>
    <w:rsid w:val="00FF3D78"/>
    <w:rsid w:val="00FF3D7B"/>
    <w:rsid w:val="00FF63ED"/>
    <w:rsid w:val="00FF654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A205E"/>
  <w15:chartTrackingRefBased/>
  <w15:docId w15:val="{C0E127CB-AA7E-AB4D-9BF3-A0C22AAB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389"/>
    <w:pPr>
      <w:spacing w:after="120"/>
    </w:pPr>
    <w:rPr>
      <w:rFonts w:cstheme="majorHAnsi"/>
      <w:lang w:val="en-AU"/>
      <w14:ligatures w14:val="none"/>
    </w:rPr>
  </w:style>
  <w:style w:type="paragraph" w:styleId="Heading1">
    <w:name w:val="heading 1"/>
    <w:basedOn w:val="Normal"/>
    <w:next w:val="Normal"/>
    <w:link w:val="Heading1Char"/>
    <w:uiPriority w:val="9"/>
    <w:qFormat/>
    <w:rsid w:val="00CE788E"/>
    <w:pPr>
      <w:keepNext/>
      <w:keepLines/>
      <w:spacing w:before="240" w:after="240" w:line="216" w:lineRule="auto"/>
      <w:outlineLvl w:val="0"/>
    </w:pPr>
    <w:rPr>
      <w:rFonts w:eastAsiaTheme="majorEastAsia" w:cstheme="majorBidi"/>
      <w:b/>
      <w:bCs/>
      <w:color w:val="78226D" w:themeColor="accent4"/>
      <w:sz w:val="72"/>
      <w:szCs w:val="92"/>
    </w:rPr>
  </w:style>
  <w:style w:type="paragraph" w:styleId="Heading2">
    <w:name w:val="heading 2"/>
    <w:basedOn w:val="Normal"/>
    <w:next w:val="Normal"/>
    <w:link w:val="Heading2Char"/>
    <w:uiPriority w:val="9"/>
    <w:unhideWhenUsed/>
    <w:qFormat/>
    <w:rsid w:val="005D434A"/>
    <w:pPr>
      <w:keepNext/>
      <w:keepLines/>
      <w:numPr>
        <w:numId w:val="5"/>
      </w:numPr>
      <w:spacing w:before="240" w:after="80"/>
      <w:outlineLvl w:val="1"/>
    </w:pPr>
    <w:rPr>
      <w:rFonts w:eastAsiaTheme="majorEastAsia" w:cstheme="majorBidi"/>
      <w:b/>
      <w:bCs/>
      <w:color w:val="452669" w:themeColor="accent1"/>
      <w:sz w:val="44"/>
      <w:szCs w:val="44"/>
    </w:rPr>
  </w:style>
  <w:style w:type="paragraph" w:styleId="Heading3">
    <w:name w:val="heading 3"/>
    <w:basedOn w:val="Heading2"/>
    <w:next w:val="Normal"/>
    <w:link w:val="Heading3Char"/>
    <w:uiPriority w:val="9"/>
    <w:unhideWhenUsed/>
    <w:qFormat/>
    <w:rsid w:val="00DE5032"/>
    <w:pPr>
      <w:numPr>
        <w:ilvl w:val="1"/>
      </w:numPr>
      <w:ind w:left="567"/>
      <w:outlineLvl w:val="2"/>
    </w:pPr>
    <w:rPr>
      <w:color w:val="59237B" w:themeColor="accent2"/>
      <w:sz w:val="32"/>
      <w:szCs w:val="32"/>
    </w:rPr>
  </w:style>
  <w:style w:type="paragraph" w:styleId="Heading4">
    <w:name w:val="heading 4"/>
    <w:basedOn w:val="Normal"/>
    <w:next w:val="Normal"/>
    <w:link w:val="Heading4Char"/>
    <w:uiPriority w:val="9"/>
    <w:unhideWhenUsed/>
    <w:qFormat/>
    <w:rsid w:val="005F7D2C"/>
    <w:pPr>
      <w:keepNext/>
      <w:keepLines/>
      <w:spacing w:before="80" w:after="40"/>
      <w:outlineLvl w:val="3"/>
    </w:pPr>
    <w:rPr>
      <w:rFonts w:eastAsiaTheme="majorEastAsia" w:cstheme="majorBidi"/>
      <w:b/>
      <w:bCs/>
      <w:color w:val="58227B"/>
    </w:rPr>
  </w:style>
  <w:style w:type="paragraph" w:styleId="Heading5">
    <w:name w:val="heading 5"/>
    <w:basedOn w:val="Normal"/>
    <w:next w:val="Normal"/>
    <w:link w:val="Heading5Char"/>
    <w:uiPriority w:val="9"/>
    <w:semiHidden/>
    <w:unhideWhenUsed/>
    <w:qFormat/>
    <w:rsid w:val="00A5199F"/>
    <w:pPr>
      <w:keepNext/>
      <w:keepLines/>
      <w:spacing w:before="80" w:after="40"/>
      <w:outlineLvl w:val="4"/>
    </w:pPr>
    <w:rPr>
      <w:rFonts w:eastAsiaTheme="majorEastAsia" w:cstheme="majorBidi"/>
      <w:color w:val="331C4E" w:themeColor="accent1" w:themeShade="BF"/>
    </w:rPr>
  </w:style>
  <w:style w:type="paragraph" w:styleId="Heading6">
    <w:name w:val="heading 6"/>
    <w:basedOn w:val="Normal"/>
    <w:next w:val="Normal"/>
    <w:link w:val="Heading6Char"/>
    <w:uiPriority w:val="9"/>
    <w:semiHidden/>
    <w:unhideWhenUsed/>
    <w:qFormat/>
    <w:rsid w:val="00A519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9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9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9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E32B11"/>
    <w:pPr>
      <w:tabs>
        <w:tab w:val="right" w:pos="9396"/>
      </w:tabs>
      <w:spacing w:before="200" w:after="0"/>
    </w:pPr>
    <w:rPr>
      <w:b/>
      <w:bCs/>
      <w:noProof/>
      <w:color w:val="452669" w:themeColor="accent1"/>
    </w:rPr>
  </w:style>
  <w:style w:type="table" w:customStyle="1" w:styleId="Basictable">
    <w:name w:val="Basic table"/>
    <w:basedOn w:val="TableNormal"/>
    <w:uiPriority w:val="99"/>
    <w:rsid w:val="003D6DF8"/>
    <w:pPr>
      <w:spacing w:after="100" w:afterAutospacing="1"/>
    </w:pPr>
    <w:rPr>
      <w:rFonts w:eastAsiaTheme="minorHAnsi"/>
      <w:sz w:val="22"/>
      <w:szCs w:val="22"/>
      <w:lang w:val="en-AU" w:eastAsia="en-US"/>
    </w:rPr>
    <w:tblPr>
      <w:tblStyleRowBandSize w:val="1"/>
      <w:tblStyleColBandSize w:val="1"/>
      <w:tblBorders>
        <w:bottom w:val="single" w:sz="4" w:space="0" w:color="452669" w:themeColor="accent1"/>
        <w:insideH w:val="single" w:sz="4" w:space="0" w:color="452669" w:themeColor="accent1"/>
      </w:tblBorders>
    </w:tblPr>
    <w:tcPr>
      <w:tcMar>
        <w:top w:w="85" w:type="dxa"/>
        <w:bottom w:w="85" w:type="dxa"/>
      </w:tcMar>
    </w:tcPr>
    <w:tblStylePr w:type="firstRow">
      <w:rPr>
        <w:rFonts w:asciiTheme="minorHAnsi" w:hAnsiTheme="minorHAnsi"/>
        <w:b/>
        <w:color w:val="FFFFFF" w:themeColor="background1"/>
        <w:u w:val="none"/>
      </w:rPr>
      <w:tblPr/>
      <w:trPr>
        <w:tblHeader/>
      </w:trPr>
      <w:tcPr>
        <w:shd w:val="clear" w:color="auto" w:fill="452669" w:themeFill="accent1"/>
      </w:tcPr>
    </w:tblStylePr>
    <w:tblStylePr w:type="lastRow">
      <w:rPr>
        <w:b/>
      </w:rPr>
    </w:tblStylePr>
    <w:tblStylePr w:type="firstCol">
      <w:tblPr/>
      <w:tcPr>
        <w:shd w:val="clear" w:color="auto" w:fill="E3D7F1"/>
      </w:tcPr>
    </w:tblStylePr>
    <w:tblStylePr w:type="lastCol">
      <w:tblPr/>
      <w:tcPr>
        <w:shd w:val="clear" w:color="auto" w:fill="E3D7F1"/>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styleId="ListTable3-Accent1">
    <w:name w:val="List Table 3 Accent 1"/>
    <w:basedOn w:val="TableNormal"/>
    <w:uiPriority w:val="48"/>
    <w:rsid w:val="006D2029"/>
    <w:pPr>
      <w:spacing w:before="60" w:after="60"/>
    </w:pPr>
    <w:rPr>
      <w:rFonts w:eastAsiaTheme="minorHAnsi"/>
      <w:sz w:val="22"/>
      <w:szCs w:val="22"/>
      <w:lang w:val="en-AU" w:eastAsia="en-US"/>
    </w:rPr>
    <w:tblPr>
      <w:tblStyleRowBandSize w:val="1"/>
      <w:tblStyleColBandSize w:val="1"/>
      <w:tblBorders>
        <w:bottom w:val="single" w:sz="4" w:space="0" w:color="452669" w:themeColor="accent1"/>
        <w:insideH w:val="single" w:sz="4" w:space="0" w:color="452669" w:themeColor="accent1"/>
      </w:tblBorders>
    </w:tblPr>
    <w:tblStylePr w:type="firstRow">
      <w:rPr>
        <w:rFonts w:asciiTheme="majorHAnsi" w:hAnsiTheme="majorHAnsi"/>
        <w:b/>
        <w:bCs/>
        <w:color w:val="FFFFFF" w:themeColor="background1"/>
      </w:rPr>
      <w:tblPr/>
      <w:tcPr>
        <w:tcBorders>
          <w:insideH w:val="nil"/>
        </w:tcBorders>
        <w:shd w:val="clear" w:color="auto" w:fill="452669" w:themeFill="accent1"/>
      </w:tcPr>
    </w:tblStylePr>
    <w:tblStylePr w:type="lastRow">
      <w:rPr>
        <w:b/>
        <w:bCs/>
      </w:rPr>
      <w:tblPr/>
      <w:tcPr>
        <w:tcBorders>
          <w:top w:val="double" w:sz="4" w:space="0" w:color="4526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2669" w:themeColor="accent1"/>
          <w:right w:val="single" w:sz="4" w:space="0" w:color="452669" w:themeColor="accent1"/>
        </w:tcBorders>
      </w:tcPr>
    </w:tblStylePr>
    <w:tblStylePr w:type="band1Horz">
      <w:tblPr/>
      <w:tcPr>
        <w:tcBorders>
          <w:top w:val="single" w:sz="4" w:space="0" w:color="452669" w:themeColor="accent1"/>
          <w:bottom w:val="single" w:sz="4" w:space="0" w:color="4526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2669" w:themeColor="accent1"/>
          <w:left w:val="nil"/>
        </w:tcBorders>
      </w:tcPr>
    </w:tblStylePr>
    <w:tblStylePr w:type="swCell">
      <w:tblPr/>
      <w:tcPr>
        <w:tcBorders>
          <w:top w:val="double" w:sz="4" w:space="0" w:color="452669" w:themeColor="accent1"/>
          <w:right w:val="nil"/>
        </w:tcBorders>
      </w:tcPr>
    </w:tblStylePr>
  </w:style>
  <w:style w:type="character" w:customStyle="1" w:styleId="Heading1Char">
    <w:name w:val="Heading 1 Char"/>
    <w:basedOn w:val="DefaultParagraphFont"/>
    <w:link w:val="Heading1"/>
    <w:uiPriority w:val="9"/>
    <w:rsid w:val="00CE788E"/>
    <w:rPr>
      <w:rFonts w:eastAsiaTheme="majorEastAsia" w:cstheme="majorBidi"/>
      <w:b/>
      <w:bCs/>
      <w:color w:val="78226D" w:themeColor="accent4"/>
      <w:sz w:val="72"/>
      <w:szCs w:val="92"/>
      <w:lang w:val="en-AU"/>
      <w14:ligatures w14:val="none"/>
    </w:rPr>
  </w:style>
  <w:style w:type="character" w:customStyle="1" w:styleId="Heading2Char">
    <w:name w:val="Heading 2 Char"/>
    <w:basedOn w:val="DefaultParagraphFont"/>
    <w:link w:val="Heading2"/>
    <w:uiPriority w:val="9"/>
    <w:rsid w:val="005D434A"/>
    <w:rPr>
      <w:rFonts w:eastAsiaTheme="majorEastAsia" w:cstheme="majorBidi"/>
      <w:b/>
      <w:bCs/>
      <w:color w:val="452669" w:themeColor="accent1"/>
      <w:sz w:val="44"/>
      <w:szCs w:val="44"/>
      <w:lang w:val="en-AU"/>
      <w14:ligatures w14:val="none"/>
    </w:rPr>
  </w:style>
  <w:style w:type="character" w:customStyle="1" w:styleId="Heading3Char">
    <w:name w:val="Heading 3 Char"/>
    <w:basedOn w:val="DefaultParagraphFont"/>
    <w:link w:val="Heading3"/>
    <w:uiPriority w:val="9"/>
    <w:rsid w:val="00DE5032"/>
    <w:rPr>
      <w:rFonts w:eastAsiaTheme="majorEastAsia" w:cstheme="majorBidi"/>
      <w:b/>
      <w:bCs/>
      <w:color w:val="59237B" w:themeColor="accent2"/>
      <w:sz w:val="32"/>
      <w:szCs w:val="32"/>
      <w:lang w:val="en-AU"/>
      <w14:ligatures w14:val="none"/>
    </w:rPr>
  </w:style>
  <w:style w:type="character" w:customStyle="1" w:styleId="Heading4Char">
    <w:name w:val="Heading 4 Char"/>
    <w:basedOn w:val="DefaultParagraphFont"/>
    <w:link w:val="Heading4"/>
    <w:uiPriority w:val="9"/>
    <w:rsid w:val="005F7D2C"/>
    <w:rPr>
      <w:rFonts w:eastAsiaTheme="majorEastAsia" w:cstheme="majorBidi"/>
      <w:b/>
      <w:bCs/>
      <w:color w:val="58227B"/>
    </w:rPr>
  </w:style>
  <w:style w:type="character" w:customStyle="1" w:styleId="Heading5Char">
    <w:name w:val="Heading 5 Char"/>
    <w:basedOn w:val="DefaultParagraphFont"/>
    <w:link w:val="Heading5"/>
    <w:uiPriority w:val="9"/>
    <w:semiHidden/>
    <w:rsid w:val="00A5199F"/>
    <w:rPr>
      <w:rFonts w:eastAsiaTheme="majorEastAsia" w:cstheme="majorBidi"/>
      <w:color w:val="331C4E" w:themeColor="accent1" w:themeShade="BF"/>
    </w:rPr>
  </w:style>
  <w:style w:type="character" w:customStyle="1" w:styleId="Heading6Char">
    <w:name w:val="Heading 6 Char"/>
    <w:basedOn w:val="DefaultParagraphFont"/>
    <w:link w:val="Heading6"/>
    <w:uiPriority w:val="9"/>
    <w:semiHidden/>
    <w:rsid w:val="00A519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9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9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99F"/>
    <w:rPr>
      <w:rFonts w:eastAsiaTheme="majorEastAsia" w:cstheme="majorBidi"/>
      <w:color w:val="272727" w:themeColor="text1" w:themeTint="D8"/>
    </w:rPr>
  </w:style>
  <w:style w:type="paragraph" w:styleId="Title">
    <w:name w:val="Title"/>
    <w:basedOn w:val="Normal"/>
    <w:next w:val="Normal"/>
    <w:link w:val="TitleChar"/>
    <w:uiPriority w:val="10"/>
    <w:qFormat/>
    <w:rsid w:val="00DE558D"/>
    <w:pPr>
      <w:spacing w:before="1440" w:after="240" w:line="920" w:lineRule="exact"/>
    </w:pPr>
    <w:rPr>
      <w:rFonts w:ascii="Calibri Light" w:hAnsi="Calibri Light" w:cs="Calibri"/>
      <w:color w:val="452669"/>
      <w:spacing w:val="20"/>
      <w:sz w:val="128"/>
      <w:szCs w:val="92"/>
    </w:rPr>
  </w:style>
  <w:style w:type="character" w:customStyle="1" w:styleId="TitleChar">
    <w:name w:val="Title Char"/>
    <w:basedOn w:val="DefaultParagraphFont"/>
    <w:link w:val="Title"/>
    <w:uiPriority w:val="10"/>
    <w:rsid w:val="0053089E"/>
    <w:rPr>
      <w:rFonts w:ascii="Calibri Light" w:hAnsi="Calibri Light" w:cs="Calibri"/>
      <w:color w:val="452669"/>
      <w:spacing w:val="20"/>
      <w:sz w:val="128"/>
      <w:szCs w:val="92"/>
      <w:lang w:val="en-AU"/>
      <w14:ligatures w14:val="none"/>
    </w:rPr>
  </w:style>
  <w:style w:type="paragraph" w:styleId="Subtitle">
    <w:name w:val="Subtitle"/>
    <w:basedOn w:val="Normal"/>
    <w:next w:val="Normal"/>
    <w:link w:val="SubtitleChar"/>
    <w:uiPriority w:val="11"/>
    <w:qFormat/>
    <w:rsid w:val="0053089E"/>
    <w:pPr>
      <w:spacing w:after="240"/>
    </w:pPr>
    <w:rPr>
      <w:color w:val="452669"/>
      <w:sz w:val="68"/>
      <w:szCs w:val="48"/>
    </w:rPr>
  </w:style>
  <w:style w:type="character" w:customStyle="1" w:styleId="SubtitleChar">
    <w:name w:val="Subtitle Char"/>
    <w:basedOn w:val="DefaultParagraphFont"/>
    <w:link w:val="Subtitle"/>
    <w:uiPriority w:val="11"/>
    <w:rsid w:val="0053089E"/>
    <w:rPr>
      <w:rFonts w:asciiTheme="majorHAnsi" w:hAnsiTheme="majorHAnsi" w:cstheme="majorHAnsi"/>
      <w:color w:val="452669"/>
      <w:sz w:val="68"/>
      <w:szCs w:val="48"/>
    </w:rPr>
  </w:style>
  <w:style w:type="paragraph" w:styleId="Quote">
    <w:name w:val="Quote"/>
    <w:basedOn w:val="Normal"/>
    <w:next w:val="Normal"/>
    <w:link w:val="QuoteChar"/>
    <w:uiPriority w:val="29"/>
    <w:qFormat/>
    <w:rsid w:val="00A519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199F"/>
    <w:rPr>
      <w:i/>
      <w:iCs/>
      <w:color w:val="404040" w:themeColor="text1" w:themeTint="BF"/>
    </w:rPr>
  </w:style>
  <w:style w:type="paragraph" w:styleId="ListParagraph">
    <w:name w:val="List Paragraph"/>
    <w:basedOn w:val="Normal"/>
    <w:uiPriority w:val="34"/>
    <w:qFormat/>
    <w:rsid w:val="00840644"/>
    <w:pPr>
      <w:numPr>
        <w:numId w:val="3"/>
      </w:numPr>
      <w:tabs>
        <w:tab w:val="left" w:pos="567"/>
        <w:tab w:val="left" w:pos="1134"/>
        <w:tab w:val="left" w:pos="1701"/>
        <w:tab w:val="left" w:pos="2268"/>
      </w:tabs>
      <w:ind w:left="568" w:hanging="284"/>
    </w:pPr>
  </w:style>
  <w:style w:type="character" w:styleId="IntenseEmphasis">
    <w:name w:val="Intense Emphasis"/>
    <w:basedOn w:val="DefaultParagraphFont"/>
    <w:uiPriority w:val="21"/>
    <w:qFormat/>
    <w:rsid w:val="00A5199F"/>
    <w:rPr>
      <w:i/>
      <w:iCs/>
      <w:color w:val="331C4E" w:themeColor="accent1" w:themeShade="BF"/>
    </w:rPr>
  </w:style>
  <w:style w:type="paragraph" w:styleId="IntenseQuote">
    <w:name w:val="Intense Quote"/>
    <w:basedOn w:val="Normal"/>
    <w:next w:val="Normal"/>
    <w:link w:val="IntenseQuoteChar"/>
    <w:uiPriority w:val="30"/>
    <w:qFormat/>
    <w:rsid w:val="00A5199F"/>
    <w:pPr>
      <w:pBdr>
        <w:top w:val="single" w:sz="4" w:space="10" w:color="331C4E" w:themeColor="accent1" w:themeShade="BF"/>
        <w:bottom w:val="single" w:sz="4" w:space="10" w:color="331C4E" w:themeColor="accent1" w:themeShade="BF"/>
      </w:pBdr>
      <w:spacing w:before="360" w:after="360"/>
      <w:ind w:left="864" w:right="864"/>
      <w:jc w:val="center"/>
    </w:pPr>
    <w:rPr>
      <w:i/>
      <w:iCs/>
      <w:color w:val="331C4E" w:themeColor="accent1" w:themeShade="BF"/>
    </w:rPr>
  </w:style>
  <w:style w:type="character" w:customStyle="1" w:styleId="IntenseQuoteChar">
    <w:name w:val="Intense Quote Char"/>
    <w:basedOn w:val="DefaultParagraphFont"/>
    <w:link w:val="IntenseQuote"/>
    <w:uiPriority w:val="30"/>
    <w:rsid w:val="00A5199F"/>
    <w:rPr>
      <w:i/>
      <w:iCs/>
      <w:color w:val="331C4E" w:themeColor="accent1" w:themeShade="BF"/>
    </w:rPr>
  </w:style>
  <w:style w:type="character" w:styleId="IntenseReference">
    <w:name w:val="Intense Reference"/>
    <w:basedOn w:val="DefaultParagraphFont"/>
    <w:uiPriority w:val="32"/>
    <w:qFormat/>
    <w:rsid w:val="00A5199F"/>
    <w:rPr>
      <w:b/>
      <w:bCs/>
      <w:smallCaps/>
      <w:color w:val="331C4E" w:themeColor="accent1" w:themeShade="BF"/>
      <w:spacing w:val="5"/>
    </w:rPr>
  </w:style>
  <w:style w:type="paragraph" w:styleId="Header">
    <w:name w:val="header"/>
    <w:basedOn w:val="Normal"/>
    <w:link w:val="HeaderChar"/>
    <w:uiPriority w:val="99"/>
    <w:unhideWhenUsed/>
    <w:rsid w:val="005F7D2C"/>
    <w:pPr>
      <w:tabs>
        <w:tab w:val="center" w:pos="4513"/>
        <w:tab w:val="right" w:pos="9026"/>
      </w:tabs>
    </w:pPr>
  </w:style>
  <w:style w:type="character" w:customStyle="1" w:styleId="HeaderChar">
    <w:name w:val="Header Char"/>
    <w:basedOn w:val="DefaultParagraphFont"/>
    <w:link w:val="Header"/>
    <w:uiPriority w:val="99"/>
    <w:rsid w:val="005F7D2C"/>
  </w:style>
  <w:style w:type="paragraph" w:styleId="Footer">
    <w:name w:val="footer"/>
    <w:basedOn w:val="Normal"/>
    <w:link w:val="FooterChar"/>
    <w:uiPriority w:val="99"/>
    <w:unhideWhenUsed/>
    <w:rsid w:val="001E1BEB"/>
    <w:pPr>
      <w:tabs>
        <w:tab w:val="center" w:pos="4513"/>
        <w:tab w:val="right" w:pos="9026"/>
      </w:tabs>
    </w:pPr>
    <w:rPr>
      <w:b/>
      <w:sz w:val="18"/>
    </w:rPr>
  </w:style>
  <w:style w:type="character" w:customStyle="1" w:styleId="FooterChar">
    <w:name w:val="Footer Char"/>
    <w:basedOn w:val="DefaultParagraphFont"/>
    <w:link w:val="Footer"/>
    <w:uiPriority w:val="99"/>
    <w:rsid w:val="005F7D2C"/>
    <w:rPr>
      <w:rFonts w:cstheme="majorHAnsi"/>
      <w:b/>
      <w:sz w:val="18"/>
      <w:lang w:val="en-AU"/>
      <w14:ligatures w14:val="none"/>
    </w:rPr>
  </w:style>
  <w:style w:type="paragraph" w:styleId="Caption">
    <w:name w:val="caption"/>
    <w:basedOn w:val="Normal"/>
    <w:next w:val="Normal"/>
    <w:uiPriority w:val="35"/>
    <w:unhideWhenUsed/>
    <w:qFormat/>
    <w:rsid w:val="002424D0"/>
    <w:rPr>
      <w:rFonts w:cstheme="minorHAnsi"/>
      <w:b/>
      <w:iCs/>
      <w:color w:val="5F266B"/>
      <w:sz w:val="20"/>
    </w:rPr>
  </w:style>
  <w:style w:type="paragraph" w:styleId="TOC2">
    <w:name w:val="toc 2"/>
    <w:basedOn w:val="Normal"/>
    <w:next w:val="Normal"/>
    <w:autoRedefine/>
    <w:uiPriority w:val="39"/>
    <w:unhideWhenUsed/>
    <w:rsid w:val="005C2730"/>
    <w:pPr>
      <w:tabs>
        <w:tab w:val="left" w:pos="0"/>
        <w:tab w:val="left" w:pos="426"/>
        <w:tab w:val="right" w:pos="9396"/>
      </w:tabs>
      <w:spacing w:before="60" w:after="0"/>
    </w:pPr>
    <w:rPr>
      <w:bCs/>
      <w:noProof/>
      <w:color w:val="421A5C" w:themeColor="accent2" w:themeShade="BF"/>
      <w:szCs w:val="20"/>
    </w:rPr>
  </w:style>
  <w:style w:type="paragraph" w:styleId="TOC3">
    <w:name w:val="toc 3"/>
    <w:basedOn w:val="Normal"/>
    <w:next w:val="Normal"/>
    <w:autoRedefine/>
    <w:uiPriority w:val="39"/>
    <w:unhideWhenUsed/>
    <w:rsid w:val="00645A34"/>
    <w:pPr>
      <w:tabs>
        <w:tab w:val="left" w:pos="960"/>
        <w:tab w:val="right" w:pos="9396"/>
      </w:tabs>
      <w:spacing w:before="80" w:after="0"/>
      <w:ind w:left="426"/>
    </w:pPr>
    <w:rPr>
      <w:noProof/>
      <w:sz w:val="20"/>
      <w:szCs w:val="20"/>
    </w:rPr>
  </w:style>
  <w:style w:type="paragraph" w:styleId="TOC4">
    <w:name w:val="toc 4"/>
    <w:basedOn w:val="Normal"/>
    <w:next w:val="Normal"/>
    <w:autoRedefine/>
    <w:uiPriority w:val="39"/>
    <w:unhideWhenUsed/>
    <w:rsid w:val="00027B2F"/>
    <w:pPr>
      <w:spacing w:after="0"/>
      <w:ind w:left="480"/>
    </w:pPr>
    <w:rPr>
      <w:rFonts w:cstheme="minorHAnsi"/>
      <w:sz w:val="20"/>
      <w:szCs w:val="20"/>
    </w:rPr>
  </w:style>
  <w:style w:type="paragraph" w:styleId="TOC5">
    <w:name w:val="toc 5"/>
    <w:basedOn w:val="Normal"/>
    <w:next w:val="Normal"/>
    <w:autoRedefine/>
    <w:uiPriority w:val="39"/>
    <w:unhideWhenUsed/>
    <w:rsid w:val="00027B2F"/>
    <w:pPr>
      <w:spacing w:after="0"/>
      <w:ind w:left="720"/>
    </w:pPr>
    <w:rPr>
      <w:rFonts w:cstheme="minorHAnsi"/>
      <w:sz w:val="20"/>
      <w:szCs w:val="20"/>
    </w:rPr>
  </w:style>
  <w:style w:type="paragraph" w:styleId="TOC6">
    <w:name w:val="toc 6"/>
    <w:basedOn w:val="Normal"/>
    <w:next w:val="Normal"/>
    <w:autoRedefine/>
    <w:uiPriority w:val="39"/>
    <w:unhideWhenUsed/>
    <w:rsid w:val="00027B2F"/>
    <w:pPr>
      <w:spacing w:after="0"/>
      <w:ind w:left="960"/>
    </w:pPr>
    <w:rPr>
      <w:rFonts w:cstheme="minorHAnsi"/>
      <w:sz w:val="20"/>
      <w:szCs w:val="20"/>
    </w:rPr>
  </w:style>
  <w:style w:type="paragraph" w:styleId="TOC7">
    <w:name w:val="toc 7"/>
    <w:basedOn w:val="Normal"/>
    <w:next w:val="Normal"/>
    <w:autoRedefine/>
    <w:uiPriority w:val="39"/>
    <w:unhideWhenUsed/>
    <w:rsid w:val="00027B2F"/>
    <w:pPr>
      <w:spacing w:after="0"/>
      <w:ind w:left="1200"/>
    </w:pPr>
    <w:rPr>
      <w:rFonts w:cstheme="minorHAnsi"/>
      <w:sz w:val="20"/>
      <w:szCs w:val="20"/>
    </w:rPr>
  </w:style>
  <w:style w:type="paragraph" w:styleId="TOC8">
    <w:name w:val="toc 8"/>
    <w:basedOn w:val="Normal"/>
    <w:next w:val="Normal"/>
    <w:autoRedefine/>
    <w:uiPriority w:val="39"/>
    <w:unhideWhenUsed/>
    <w:rsid w:val="00027B2F"/>
    <w:pPr>
      <w:spacing w:after="0"/>
      <w:ind w:left="1440"/>
    </w:pPr>
    <w:rPr>
      <w:rFonts w:cstheme="minorHAnsi"/>
      <w:sz w:val="20"/>
      <w:szCs w:val="20"/>
    </w:rPr>
  </w:style>
  <w:style w:type="paragraph" w:styleId="TOC9">
    <w:name w:val="toc 9"/>
    <w:basedOn w:val="Normal"/>
    <w:next w:val="Normal"/>
    <w:autoRedefine/>
    <w:uiPriority w:val="39"/>
    <w:unhideWhenUsed/>
    <w:rsid w:val="00027B2F"/>
    <w:pPr>
      <w:spacing w:after="0"/>
      <w:ind w:left="1680"/>
    </w:pPr>
    <w:rPr>
      <w:rFonts w:cstheme="minorHAnsi"/>
      <w:sz w:val="20"/>
      <w:szCs w:val="20"/>
    </w:rPr>
  </w:style>
  <w:style w:type="character" w:styleId="Hyperlink">
    <w:name w:val="Hyperlink"/>
    <w:basedOn w:val="DefaultParagraphFont"/>
    <w:uiPriority w:val="99"/>
    <w:unhideWhenUsed/>
    <w:qFormat/>
    <w:rsid w:val="00027B2F"/>
    <w:rPr>
      <w:color w:val="78226D" w:themeColor="hyperlink"/>
      <w:u w:val="single"/>
    </w:rPr>
  </w:style>
  <w:style w:type="paragraph" w:styleId="TOCHeading">
    <w:name w:val="TOC Heading"/>
    <w:basedOn w:val="Heading1"/>
    <w:next w:val="Normal"/>
    <w:uiPriority w:val="39"/>
    <w:unhideWhenUsed/>
    <w:qFormat/>
    <w:rsid w:val="00D304C7"/>
  </w:style>
  <w:style w:type="paragraph" w:styleId="List2">
    <w:name w:val="List 2"/>
    <w:basedOn w:val="Normal"/>
    <w:uiPriority w:val="99"/>
    <w:semiHidden/>
    <w:unhideWhenUsed/>
    <w:rsid w:val="00071FC1"/>
    <w:pPr>
      <w:ind w:left="566" w:hanging="283"/>
      <w:contextualSpacing/>
    </w:pPr>
  </w:style>
  <w:style w:type="character" w:styleId="PageNumber">
    <w:name w:val="page number"/>
    <w:basedOn w:val="DefaultParagraphFont"/>
    <w:uiPriority w:val="99"/>
    <w:semiHidden/>
    <w:unhideWhenUsed/>
    <w:rsid w:val="009E783E"/>
  </w:style>
  <w:style w:type="table" w:styleId="TableGrid">
    <w:name w:val="Table Grid"/>
    <w:basedOn w:val="TableNormal"/>
    <w:uiPriority w:val="39"/>
    <w:rsid w:val="003D6DF8"/>
    <w:pPr>
      <w:spacing w:before="100" w:beforeAutospacing="1" w:after="100" w:afterAutospacing="1"/>
    </w:pPr>
    <w:rPr>
      <w:rFonts w:eastAsiaTheme="minorHAnsi"/>
      <w:sz w:val="22"/>
      <w:szCs w:val="22"/>
      <w:lang w:val="en-AU" w:eastAsia="en-US"/>
    </w:rPr>
    <w:tblPr>
      <w:tblStyleRowBandSize w:val="1"/>
      <w:tblStyleColBandSize w:val="1"/>
      <w:tblBorders>
        <w:top w:val="single" w:sz="4" w:space="0" w:color="78226D" w:themeColor="accent4"/>
        <w:left w:val="single" w:sz="4" w:space="0" w:color="78226D" w:themeColor="accent4"/>
        <w:bottom w:val="single" w:sz="4" w:space="0" w:color="78226D" w:themeColor="accent4"/>
        <w:right w:val="single" w:sz="4" w:space="0" w:color="78226D" w:themeColor="accent4"/>
        <w:insideH w:val="single" w:sz="4" w:space="0" w:color="78226D" w:themeColor="accent4"/>
        <w:insideV w:val="single" w:sz="4" w:space="0" w:color="78226D" w:themeColor="accent4"/>
      </w:tblBorders>
    </w:tblPr>
    <w:tcPr>
      <w:shd w:val="clear" w:color="auto" w:fill="F2F2F2" w:themeFill="background1" w:themeFillShade="F2"/>
      <w:tcMar>
        <w:top w:w="85" w:type="dxa"/>
        <w:bottom w:w="85" w:type="dxa"/>
      </w:tcMar>
    </w:tcPr>
    <w:tblStylePr w:type="firstRow">
      <w:rPr>
        <w:rFonts w:asciiTheme="minorHAnsi" w:hAnsiTheme="minorHAnsi"/>
        <w:b/>
        <w:color w:val="FFFFFF" w:themeColor="background1"/>
      </w:rPr>
      <w:tblPr/>
      <w:trPr>
        <w:tblHeader/>
      </w:trPr>
      <w:tcPr>
        <w:tcBorders>
          <w:insideH w:val="nil"/>
          <w:insideV w:val="single" w:sz="4" w:space="0" w:color="FFFFFF" w:themeColor="background1"/>
        </w:tcBorders>
        <w:shd w:val="clear" w:color="auto" w:fill="78226D" w:themeFill="accent4"/>
      </w:tcPr>
    </w:tblStylePr>
    <w:tblStylePr w:type="lastRow">
      <w:rPr>
        <w:b/>
      </w:rPr>
    </w:tblStylePr>
    <w:tblStylePr w:type="firstCol">
      <w:rPr>
        <w:rFonts w:asciiTheme="minorHAnsi" w:hAnsiTheme="minorHAnsi"/>
        <w:b/>
        <w:color w:val="FFFFFF" w:themeColor="background1"/>
        <w:sz w:val="24"/>
      </w:rPr>
      <w:tblPr/>
      <w:tcPr>
        <w:tcBorders>
          <w:top w:val="nil"/>
          <w:left w:val="nil"/>
          <w:bottom w:val="nil"/>
          <w:right w:val="nil"/>
          <w:insideH w:val="single" w:sz="4" w:space="0" w:color="FFFFFF" w:themeColor="background1"/>
          <w:insideV w:val="nil"/>
        </w:tcBorders>
        <w:shd w:val="clear" w:color="auto" w:fill="78226D" w:themeFill="accent4"/>
      </w:tcPr>
    </w:tblStylePr>
    <w:tblStylePr w:type="lastCol">
      <w:rPr>
        <w:b/>
        <w:color w:val="FFFFFF" w:themeColor="background1"/>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78226D" w:themeFill="accent4"/>
      </w:tc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NoSpacing">
    <w:name w:val="No Spacing"/>
    <w:uiPriority w:val="1"/>
    <w:qFormat/>
    <w:rsid w:val="00491B61"/>
    <w:rPr>
      <w:rFonts w:eastAsiaTheme="minorHAnsi"/>
      <w:sz w:val="22"/>
      <w:szCs w:val="22"/>
      <w:lang w:val="en-AU" w:eastAsia="en-US"/>
    </w:rPr>
  </w:style>
  <w:style w:type="character" w:styleId="UnresolvedMention">
    <w:name w:val="Unresolved Mention"/>
    <w:basedOn w:val="DefaultParagraphFont"/>
    <w:uiPriority w:val="99"/>
    <w:semiHidden/>
    <w:unhideWhenUsed/>
    <w:rsid w:val="00E1312B"/>
    <w:rPr>
      <w:color w:val="605E5C"/>
      <w:shd w:val="clear" w:color="auto" w:fill="E1DFDD"/>
    </w:rPr>
  </w:style>
  <w:style w:type="character" w:styleId="FollowedHyperlink">
    <w:name w:val="FollowedHyperlink"/>
    <w:basedOn w:val="DefaultParagraphFont"/>
    <w:uiPriority w:val="99"/>
    <w:semiHidden/>
    <w:unhideWhenUsed/>
    <w:rsid w:val="00E1312B"/>
    <w:rPr>
      <w:color w:val="96607D" w:themeColor="followedHyperlink"/>
      <w:u w:val="single"/>
    </w:rPr>
  </w:style>
  <w:style w:type="paragraph" w:customStyle="1" w:styleId="breakoutbox">
    <w:name w:val="break out box"/>
    <w:basedOn w:val="Normal"/>
    <w:qFormat/>
    <w:rsid w:val="00E76F50"/>
    <w:pPr>
      <w:pBdr>
        <w:top w:val="single" w:sz="48" w:space="3" w:color="F2F2F2" w:themeColor="background1" w:themeShade="F2"/>
        <w:left w:val="single" w:sz="48" w:space="4" w:color="F2F2F2" w:themeColor="background1" w:themeShade="F2"/>
        <w:bottom w:val="single" w:sz="18" w:space="10" w:color="78226D" w:themeColor="accent4"/>
        <w:right w:val="single" w:sz="48" w:space="4" w:color="F2F2F2" w:themeColor="background1" w:themeShade="F2"/>
      </w:pBdr>
      <w:shd w:val="clear" w:color="auto" w:fill="F2F2F2" w:themeFill="background1" w:themeFillShade="F2"/>
      <w:spacing w:before="320"/>
      <w:ind w:left="227" w:right="227"/>
    </w:pPr>
    <w:rPr>
      <w:b/>
      <w:bCs/>
    </w:rPr>
  </w:style>
  <w:style w:type="paragraph" w:customStyle="1" w:styleId="Intro">
    <w:name w:val="Intro"/>
    <w:basedOn w:val="Normal"/>
    <w:qFormat/>
    <w:rsid w:val="00F815A8"/>
    <w:rPr>
      <w:color w:val="452669" w:themeColor="accent1"/>
      <w:sz w:val="28"/>
      <w:szCs w:val="28"/>
      <w:lang w:val="en-US"/>
    </w:rPr>
  </w:style>
  <w:style w:type="paragraph" w:styleId="ListNumber">
    <w:name w:val="List Number"/>
    <w:basedOn w:val="ListParagraph"/>
    <w:uiPriority w:val="99"/>
    <w:unhideWhenUsed/>
    <w:rsid w:val="00EF7613"/>
    <w:pPr>
      <w:numPr>
        <w:numId w:val="1"/>
      </w:numPr>
      <w:tabs>
        <w:tab w:val="clear" w:pos="567"/>
        <w:tab w:val="clear" w:pos="1134"/>
        <w:tab w:val="clear" w:pos="1701"/>
        <w:tab w:val="clear" w:pos="2268"/>
      </w:tabs>
      <w:ind w:left="568" w:hanging="284"/>
    </w:pPr>
  </w:style>
  <w:style w:type="paragraph" w:customStyle="1" w:styleId="Body">
    <w:name w:val="Body"/>
    <w:basedOn w:val="Normal"/>
    <w:uiPriority w:val="99"/>
    <w:rsid w:val="00637E5A"/>
    <w:pPr>
      <w:suppressAutoHyphens/>
      <w:autoSpaceDE w:val="0"/>
      <w:autoSpaceDN w:val="0"/>
      <w:adjustRightInd w:val="0"/>
      <w:spacing w:after="113" w:line="288" w:lineRule="auto"/>
      <w:textAlignment w:val="center"/>
    </w:pPr>
    <w:rPr>
      <w:rFonts w:ascii="Calibri Light" w:hAnsi="Calibri Light" w:cs="Calibri Light"/>
      <w:color w:val="000000"/>
      <w:kern w:val="0"/>
      <w:lang w:val="en-US"/>
    </w:rPr>
  </w:style>
  <w:style w:type="character" w:customStyle="1" w:styleId="italics">
    <w:name w:val="italics"/>
    <w:uiPriority w:val="99"/>
    <w:rsid w:val="00637E5A"/>
  </w:style>
  <w:style w:type="paragraph" w:customStyle="1" w:styleId="FigureTitle">
    <w:name w:val="Figure Title"/>
    <w:basedOn w:val="Normal"/>
    <w:next w:val="Normal"/>
    <w:qFormat/>
    <w:rsid w:val="008754C2"/>
    <w:pPr>
      <w:spacing w:before="120"/>
    </w:pPr>
    <w:rPr>
      <w:rFonts w:ascii="Arial" w:eastAsia="Times New Roman" w:hAnsi="Arial" w:cs="Arial"/>
      <w:b/>
      <w:bCs/>
      <w:iCs/>
      <w:color w:val="000000" w:themeColor="text1"/>
      <w:kern w:val="0"/>
      <w:sz w:val="22"/>
      <w:szCs w:val="22"/>
      <w:lang w:eastAsia="en-US"/>
    </w:rPr>
  </w:style>
  <w:style w:type="paragraph" w:customStyle="1" w:styleId="Tablelistnumber">
    <w:name w:val="Table list number"/>
    <w:basedOn w:val="Normal"/>
    <w:qFormat/>
    <w:rsid w:val="00B61F34"/>
    <w:pPr>
      <w:numPr>
        <w:numId w:val="2"/>
      </w:numPr>
      <w:spacing w:before="60" w:after="60"/>
    </w:pPr>
    <w:rPr>
      <w:rFonts w:ascii="Arial" w:eastAsia="Times New Roman" w:hAnsi="Arial" w:cs="Times New Roman"/>
      <w:bCs/>
      <w:color w:val="000000" w:themeColor="text1"/>
      <w:kern w:val="0"/>
      <w:sz w:val="21"/>
      <w:lang w:eastAsia="en-US"/>
      <w14:numSpacing w14:val="proportional"/>
    </w:rPr>
  </w:style>
  <w:style w:type="character" w:styleId="PlaceholderText">
    <w:name w:val="Placeholder Text"/>
    <w:basedOn w:val="DefaultParagraphFont"/>
    <w:uiPriority w:val="99"/>
    <w:semiHidden/>
    <w:rsid w:val="00FC5C43"/>
    <w:rPr>
      <w:color w:val="666666"/>
    </w:rPr>
  </w:style>
  <w:style w:type="table" w:customStyle="1" w:styleId="Tablestyle2">
    <w:name w:val="Table style 2"/>
    <w:basedOn w:val="Basictable"/>
    <w:uiPriority w:val="99"/>
    <w:rsid w:val="00CE2086"/>
    <w:tblPr/>
    <w:tblStylePr w:type="firstRow">
      <w:rPr>
        <w:rFonts w:asciiTheme="minorHAnsi" w:hAnsiTheme="minorHAnsi"/>
        <w:b/>
        <w:color w:val="FFFFFF" w:themeColor="background1"/>
        <w:u w:val="none"/>
      </w:rPr>
      <w:tblPr/>
      <w:trPr>
        <w:tblHeader/>
      </w:trPr>
      <w:tcPr>
        <w:shd w:val="clear" w:color="auto" w:fill="78226D" w:themeFill="accent4"/>
      </w:tcPr>
    </w:tblStylePr>
    <w:tblStylePr w:type="lastRow">
      <w:rPr>
        <w:b/>
      </w:rPr>
    </w:tblStylePr>
    <w:tblStylePr w:type="firstCol">
      <w:tblPr/>
      <w:tcPr>
        <w:shd w:val="clear" w:color="auto" w:fill="F7E1F4"/>
      </w:tcPr>
    </w:tblStylePr>
    <w:tblStylePr w:type="lastCol">
      <w:tblPr/>
      <w:tcPr>
        <w:shd w:val="clear" w:color="auto" w:fill="F7E1F4"/>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ectiontitle1">
    <w:name w:val="Section title 1"/>
    <w:basedOn w:val="Normal"/>
    <w:qFormat/>
    <w:rsid w:val="004018E4"/>
    <w:pPr>
      <w:spacing w:before="4400"/>
    </w:pPr>
    <w:rPr>
      <w:b/>
      <w:bCs/>
      <w:color w:val="78226D" w:themeColor="accent4"/>
      <w:sz w:val="84"/>
      <w:szCs w:val="84"/>
    </w:rPr>
  </w:style>
  <w:style w:type="paragraph" w:customStyle="1" w:styleId="Sectiontitle2">
    <w:name w:val="Section title 2"/>
    <w:basedOn w:val="Normal"/>
    <w:qFormat/>
    <w:rsid w:val="00CE2086"/>
    <w:pPr>
      <w:spacing w:before="360" w:line="216" w:lineRule="auto"/>
      <w:ind w:right="284"/>
    </w:pPr>
    <w:rPr>
      <w:rFonts w:asciiTheme="majorHAnsi" w:hAnsiTheme="majorHAnsi"/>
      <w:color w:val="452669"/>
      <w:sz w:val="144"/>
      <w:szCs w:val="128"/>
    </w:rPr>
  </w:style>
  <w:style w:type="paragraph" w:customStyle="1" w:styleId="Testimonialtext">
    <w:name w:val="Testimonial text"/>
    <w:basedOn w:val="Normal"/>
    <w:qFormat/>
    <w:rsid w:val="00CE2086"/>
    <w:pPr>
      <w:pBdr>
        <w:top w:val="single" w:sz="8" w:space="10" w:color="59237B" w:themeColor="accent2"/>
        <w:left w:val="single" w:sz="8" w:space="11" w:color="59237B" w:themeColor="accent2"/>
        <w:bottom w:val="single" w:sz="8" w:space="10" w:color="59237B" w:themeColor="accent2"/>
        <w:right w:val="single" w:sz="8" w:space="11" w:color="59237B" w:themeColor="accent2"/>
      </w:pBdr>
      <w:shd w:val="clear" w:color="auto" w:fill="F3E9F3" w:themeFill="accent3" w:themeFillTint="33"/>
      <w:spacing w:before="160" w:after="160"/>
      <w:ind w:left="284" w:right="284"/>
    </w:pPr>
  </w:style>
  <w:style w:type="table" w:customStyle="1" w:styleId="Tablestyle1">
    <w:name w:val="Table style 1"/>
    <w:basedOn w:val="Basictable"/>
    <w:uiPriority w:val="99"/>
    <w:rsid w:val="00CE2086"/>
    <w:tblPr>
      <w:tblBorders>
        <w:top w:val="single" w:sz="4" w:space="0" w:color="452669" w:themeColor="accent1"/>
        <w:bottom w:val="none" w:sz="0" w:space="0" w:color="auto"/>
        <w:insideH w:val="none" w:sz="0" w:space="0" w:color="auto"/>
      </w:tblBorders>
    </w:tblPr>
    <w:tblStylePr w:type="firstRow">
      <w:rPr>
        <w:rFonts w:asciiTheme="minorHAnsi" w:hAnsiTheme="minorHAnsi"/>
        <w:b/>
        <w:color w:val="452669" w:themeColor="accent1"/>
        <w:u w:val="none"/>
      </w:rPr>
      <w:tblPr/>
      <w:trPr>
        <w:tblHeader/>
      </w:trPr>
      <w:tcPr>
        <w:tcBorders>
          <w:top w:val="single" w:sz="4" w:space="0" w:color="452669" w:themeColor="accent1"/>
          <w:left w:val="nil"/>
          <w:bottom w:val="nil"/>
          <w:right w:val="nil"/>
          <w:insideH w:val="nil"/>
          <w:insideV w:val="nil"/>
        </w:tcBorders>
        <w:shd w:val="clear" w:color="auto" w:fill="E3D7F1"/>
      </w:tcPr>
    </w:tblStylePr>
    <w:tblStylePr w:type="lastRow">
      <w:rPr>
        <w:b/>
      </w:rPr>
    </w:tblStylePr>
    <w:tblStylePr w:type="firstCol">
      <w:tblPr/>
      <w:tcPr>
        <w:shd w:val="clear" w:color="auto" w:fill="F5F0FA"/>
      </w:tcPr>
    </w:tblStylePr>
    <w:tblStylePr w:type="lastCol">
      <w:tblPr/>
      <w:tcPr>
        <w:shd w:val="clear" w:color="auto" w:fill="F5F0FA"/>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Basictablegrid">
    <w:name w:val="Basic table grid"/>
    <w:basedOn w:val="Basictable"/>
    <w:uiPriority w:val="99"/>
    <w:rsid w:val="00CE2086"/>
    <w:tblPr>
      <w:tblBorders>
        <w:top w:val="single" w:sz="4" w:space="0" w:color="452669" w:themeColor="accent1"/>
        <w:left w:val="single" w:sz="4" w:space="0" w:color="452669" w:themeColor="accent1"/>
        <w:bottom w:val="none" w:sz="0" w:space="0" w:color="auto"/>
        <w:right w:val="single" w:sz="4" w:space="0" w:color="452669" w:themeColor="accent1"/>
        <w:insideH w:val="none" w:sz="0" w:space="0" w:color="auto"/>
        <w:insideV w:val="single" w:sz="4" w:space="0" w:color="452669" w:themeColor="accent1"/>
      </w:tblBorders>
    </w:tblPr>
    <w:tblStylePr w:type="firstRow">
      <w:rPr>
        <w:rFonts w:asciiTheme="minorHAnsi" w:hAnsiTheme="minorHAnsi"/>
        <w:b/>
        <w:color w:val="FFFFFF" w:themeColor="background1"/>
        <w:u w:val="none"/>
      </w:rPr>
      <w:tblPr/>
      <w:trPr>
        <w:tblHeader/>
      </w:trPr>
      <w:tcPr>
        <w:shd w:val="clear" w:color="auto" w:fill="452669" w:themeFill="accent1"/>
      </w:tcPr>
    </w:tblStylePr>
    <w:tblStylePr w:type="lastRow">
      <w:rPr>
        <w:b/>
      </w:rPr>
    </w:tblStylePr>
    <w:tblStylePr w:type="firstCol">
      <w:tblPr/>
      <w:tcPr>
        <w:shd w:val="clear" w:color="auto" w:fill="E3D7F1"/>
      </w:tcPr>
    </w:tblStylePr>
    <w:tblStylePr w:type="lastCol">
      <w:tblPr/>
      <w:tcPr>
        <w:shd w:val="clear" w:color="auto" w:fill="E3D7F1"/>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TableGridStyle1">
    <w:name w:val="Table Grid Style 1"/>
    <w:basedOn w:val="TableGrid"/>
    <w:uiPriority w:val="99"/>
    <w:rsid w:val="00CE2086"/>
    <w:tblPr>
      <w:tblBorders>
        <w:top w:val="single" w:sz="4" w:space="0" w:color="452669" w:themeColor="accent1"/>
        <w:left w:val="single" w:sz="4" w:space="0" w:color="452669" w:themeColor="accent1"/>
        <w:bottom w:val="single" w:sz="4" w:space="0" w:color="452669" w:themeColor="accent1"/>
        <w:right w:val="single" w:sz="4" w:space="0" w:color="452669" w:themeColor="accent1"/>
        <w:insideH w:val="single" w:sz="4" w:space="0" w:color="452669" w:themeColor="accent1"/>
        <w:insideV w:val="single" w:sz="4" w:space="0" w:color="452669" w:themeColor="accent1"/>
      </w:tblBorders>
    </w:tblPr>
    <w:tcPr>
      <w:shd w:val="clear" w:color="auto" w:fill="F2F2F2" w:themeFill="background1" w:themeFillShade="F2"/>
    </w:tcPr>
    <w:tblStylePr w:type="firstRow">
      <w:rPr>
        <w:rFonts w:asciiTheme="minorHAnsi" w:hAnsiTheme="minorHAnsi"/>
        <w:b/>
        <w:color w:val="FFFFFF" w:themeColor="background1"/>
      </w:rPr>
      <w:tblPr/>
      <w:trPr>
        <w:tblHeader/>
      </w:trPr>
      <w:tcPr>
        <w:tcBorders>
          <w:insideH w:val="nil"/>
          <w:insideV w:val="single" w:sz="4" w:space="0" w:color="FFFFFF" w:themeColor="background1"/>
        </w:tcBorders>
        <w:shd w:val="clear" w:color="auto" w:fill="452669"/>
      </w:tcPr>
    </w:tblStylePr>
    <w:tblStylePr w:type="lastRow">
      <w:rPr>
        <w:b/>
      </w:rPr>
    </w:tblStylePr>
    <w:tblStylePr w:type="firstCol">
      <w:rPr>
        <w:rFonts w:asciiTheme="minorHAnsi" w:hAnsiTheme="minorHAnsi"/>
        <w:b/>
        <w:color w:val="FFFFFF" w:themeColor="background1"/>
        <w:sz w:val="24"/>
      </w:rPr>
      <w:tblPr/>
      <w:tcPr>
        <w:tcBorders>
          <w:top w:val="nil"/>
          <w:left w:val="nil"/>
          <w:bottom w:val="nil"/>
          <w:right w:val="nil"/>
          <w:insideH w:val="single" w:sz="4" w:space="0" w:color="FFFFFF" w:themeColor="background1"/>
          <w:insideV w:val="nil"/>
        </w:tcBorders>
        <w:shd w:val="clear" w:color="auto" w:fill="452669"/>
      </w:tcPr>
    </w:tblStylePr>
    <w:tblStylePr w:type="lastCol">
      <w:rPr>
        <w:b/>
        <w:color w:val="FFFFFF" w:themeColor="background1"/>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452669"/>
      </w:tc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Basictablegridsmall">
    <w:name w:val="Basic table grid small"/>
    <w:basedOn w:val="Basictablegrid"/>
    <w:uiPriority w:val="99"/>
    <w:rsid w:val="00CE2086"/>
    <w:pPr>
      <w:spacing w:after="0" w:afterAutospacing="0"/>
    </w:pPr>
    <w:rPr>
      <w:sz w:val="20"/>
    </w:rPr>
    <w:tblPr>
      <w:tblCellMar>
        <w:left w:w="57" w:type="dxa"/>
        <w:right w:w="57" w:type="dxa"/>
      </w:tblCellMar>
    </w:tblPr>
    <w:tcPr>
      <w:tcMar>
        <w:top w:w="28" w:type="dxa"/>
        <w:bottom w:w="28" w:type="dxa"/>
      </w:tcMar>
    </w:tcPr>
    <w:tblStylePr w:type="firstRow">
      <w:rPr>
        <w:rFonts w:asciiTheme="minorHAnsi" w:hAnsiTheme="minorHAnsi"/>
        <w:b/>
        <w:color w:val="FFFFFF" w:themeColor="background1"/>
        <w:u w:val="none"/>
      </w:rPr>
      <w:tblPr/>
      <w:trPr>
        <w:tblHeader/>
      </w:trPr>
      <w:tcPr>
        <w:shd w:val="clear" w:color="auto" w:fill="452669" w:themeFill="accent1"/>
        <w:vAlign w:val="center"/>
      </w:tcPr>
    </w:tblStylePr>
    <w:tblStylePr w:type="lastRow">
      <w:rPr>
        <w:b/>
      </w:rPr>
    </w:tblStylePr>
    <w:tblStylePr w:type="firstCol">
      <w:tblPr/>
      <w:tcPr>
        <w:shd w:val="clear" w:color="auto" w:fill="E3D7F1"/>
      </w:tcPr>
    </w:tblStylePr>
    <w:tblStylePr w:type="lastCol">
      <w:tblPr/>
      <w:tcPr>
        <w:shd w:val="clear" w:color="auto" w:fill="E3D7F1"/>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SubtleEmphasis">
    <w:name w:val="Subtle Emphasis"/>
    <w:basedOn w:val="DefaultParagraphFont"/>
    <w:uiPriority w:val="19"/>
    <w:qFormat/>
    <w:rsid w:val="003421C8"/>
    <w:rPr>
      <w:i/>
      <w:iCs/>
      <w:color w:val="404040" w:themeColor="text1" w:themeTint="BF"/>
    </w:rPr>
  </w:style>
  <w:style w:type="character" w:styleId="Emphasis">
    <w:name w:val="Emphasis"/>
    <w:basedOn w:val="DefaultParagraphFont"/>
    <w:uiPriority w:val="20"/>
    <w:qFormat/>
    <w:rsid w:val="002335EF"/>
    <w:rPr>
      <w:i/>
      <w:iCs/>
    </w:rPr>
  </w:style>
  <w:style w:type="character" w:styleId="CommentReference">
    <w:name w:val="annotation reference"/>
    <w:basedOn w:val="DefaultParagraphFont"/>
    <w:uiPriority w:val="99"/>
    <w:semiHidden/>
    <w:unhideWhenUsed/>
    <w:rsid w:val="005B0279"/>
    <w:rPr>
      <w:sz w:val="16"/>
      <w:szCs w:val="16"/>
    </w:rPr>
  </w:style>
  <w:style w:type="paragraph" w:styleId="CommentText">
    <w:name w:val="annotation text"/>
    <w:basedOn w:val="Normal"/>
    <w:link w:val="CommentTextChar"/>
    <w:uiPriority w:val="99"/>
    <w:unhideWhenUsed/>
    <w:rsid w:val="005B0279"/>
    <w:pPr>
      <w:spacing w:after="160"/>
    </w:pPr>
    <w:rPr>
      <w:rFonts w:eastAsiaTheme="minorHAnsi" w:cs="Times New Roman"/>
      <w:kern w:val="0"/>
      <w:sz w:val="20"/>
      <w:szCs w:val="20"/>
      <w:lang w:eastAsia="en-US"/>
    </w:rPr>
  </w:style>
  <w:style w:type="character" w:customStyle="1" w:styleId="CommentTextChar">
    <w:name w:val="Comment Text Char"/>
    <w:basedOn w:val="DefaultParagraphFont"/>
    <w:link w:val="CommentText"/>
    <w:uiPriority w:val="99"/>
    <w:rsid w:val="005B0279"/>
    <w:rPr>
      <w:rFonts w:eastAsiaTheme="minorHAnsi" w:cs="Times New Roman"/>
      <w:kern w:val="0"/>
      <w:sz w:val="20"/>
      <w:szCs w:val="20"/>
      <w:lang w:val="en-AU" w:eastAsia="en-US"/>
      <w14:ligatures w14:val="none"/>
    </w:rPr>
  </w:style>
  <w:style w:type="paragraph" w:customStyle="1" w:styleId="Heading-Dotpoint">
    <w:name w:val="Heading - Dot point"/>
    <w:basedOn w:val="Heading1"/>
    <w:next w:val="Normal"/>
    <w:link w:val="Heading-DotpointChar"/>
    <w:qFormat/>
    <w:rsid w:val="00356EEA"/>
    <w:pPr>
      <w:spacing w:after="0" w:line="259" w:lineRule="auto"/>
    </w:pPr>
    <w:rPr>
      <w:bCs w:val="0"/>
      <w:color w:val="452669"/>
      <w:kern w:val="0"/>
      <w:sz w:val="48"/>
      <w:szCs w:val="32"/>
      <w:lang w:eastAsia="en-US"/>
    </w:rPr>
  </w:style>
  <w:style w:type="character" w:customStyle="1" w:styleId="Heading-DotpointChar">
    <w:name w:val="Heading - Dot point Char"/>
    <w:basedOn w:val="Heading1Char"/>
    <w:link w:val="Heading-Dotpoint"/>
    <w:rsid w:val="00356EEA"/>
    <w:rPr>
      <w:rFonts w:eastAsiaTheme="majorEastAsia" w:cstheme="majorBidi"/>
      <w:b/>
      <w:bCs w:val="0"/>
      <w:color w:val="452669"/>
      <w:kern w:val="0"/>
      <w:sz w:val="48"/>
      <w:szCs w:val="32"/>
      <w:lang w:val="en-AU" w:eastAsia="en-US"/>
      <w14:ligatures w14:val="none"/>
    </w:rPr>
  </w:style>
  <w:style w:type="table" w:styleId="GridTable1Light-Accent1">
    <w:name w:val="Grid Table 1 Light Accent 1"/>
    <w:basedOn w:val="TableNormal"/>
    <w:uiPriority w:val="46"/>
    <w:rsid w:val="005B0279"/>
    <w:rPr>
      <w:rFonts w:ascii="Times New Roman" w:eastAsiaTheme="minorHAnsi" w:hAnsi="Times New Roman" w:cs="Times New Roman"/>
      <w:kern w:val="0"/>
      <w:lang w:val="en-AU" w:eastAsia="en-US"/>
      <w14:ligatures w14:val="none"/>
    </w:rPr>
    <w:tblPr>
      <w:tblStyleRowBandSize w:val="1"/>
      <w:tblStyleColBandSize w:val="1"/>
      <w:tblBorders>
        <w:top w:val="single" w:sz="4" w:space="0" w:color="B293D8" w:themeColor="accent1" w:themeTint="66"/>
        <w:left w:val="single" w:sz="4" w:space="0" w:color="B293D8" w:themeColor="accent1" w:themeTint="66"/>
        <w:bottom w:val="single" w:sz="4" w:space="0" w:color="B293D8" w:themeColor="accent1" w:themeTint="66"/>
        <w:right w:val="single" w:sz="4" w:space="0" w:color="B293D8" w:themeColor="accent1" w:themeTint="66"/>
        <w:insideH w:val="single" w:sz="4" w:space="0" w:color="B293D8" w:themeColor="accent1" w:themeTint="66"/>
        <w:insideV w:val="single" w:sz="4" w:space="0" w:color="B293D8" w:themeColor="accent1" w:themeTint="66"/>
      </w:tblBorders>
    </w:tblPr>
    <w:tblStylePr w:type="firstRow">
      <w:rPr>
        <w:b/>
        <w:bCs/>
      </w:rPr>
      <w:tblPr/>
      <w:tcPr>
        <w:tcBorders>
          <w:bottom w:val="single" w:sz="12" w:space="0" w:color="8C5DC4" w:themeColor="accent1" w:themeTint="99"/>
        </w:tcBorders>
      </w:tcPr>
    </w:tblStylePr>
    <w:tblStylePr w:type="lastRow">
      <w:rPr>
        <w:b/>
        <w:bCs/>
      </w:rPr>
      <w:tblPr/>
      <w:tcPr>
        <w:tcBorders>
          <w:top w:val="double" w:sz="2" w:space="0" w:color="8C5DC4"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1B5CFA"/>
    <w:rPr>
      <w:rFonts w:cstheme="majorHAnsi"/>
      <w:lang w:val="en-AU"/>
      <w14:ligatures w14:val="none"/>
    </w:rPr>
  </w:style>
  <w:style w:type="paragraph" w:styleId="CommentSubject">
    <w:name w:val="annotation subject"/>
    <w:basedOn w:val="CommentText"/>
    <w:next w:val="CommentText"/>
    <w:link w:val="CommentSubjectChar"/>
    <w:uiPriority w:val="99"/>
    <w:semiHidden/>
    <w:unhideWhenUsed/>
    <w:rsid w:val="00454844"/>
    <w:pPr>
      <w:spacing w:after="120"/>
    </w:pPr>
    <w:rPr>
      <w:rFonts w:eastAsiaTheme="minorEastAsia" w:cstheme="majorHAnsi"/>
      <w:b/>
      <w:bCs/>
      <w:kern w:val="2"/>
      <w:lang w:eastAsia="ko-KR"/>
    </w:rPr>
  </w:style>
  <w:style w:type="character" w:customStyle="1" w:styleId="CommentSubjectChar">
    <w:name w:val="Comment Subject Char"/>
    <w:basedOn w:val="CommentTextChar"/>
    <w:link w:val="CommentSubject"/>
    <w:uiPriority w:val="99"/>
    <w:semiHidden/>
    <w:rsid w:val="00454844"/>
    <w:rPr>
      <w:rFonts w:eastAsiaTheme="minorHAnsi" w:cstheme="majorHAnsi"/>
      <w:b/>
      <w:bCs/>
      <w:kern w:val="0"/>
      <w:sz w:val="20"/>
      <w:szCs w:val="20"/>
      <w:lang w:val="en-AU"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jpeg"/><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diagramColors" Target="diagrams/colors1.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1.xml"/><Relationship Id="rId32"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diagramLayout" Target="diagrams/layout1.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5.jpeg"/><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Data" Target="diagrams/data1.xml"/><Relationship Id="rId27" Type="http://schemas.openxmlformats.org/officeDocument/2006/relationships/header" Target="header2.xml"/><Relationship Id="rId30" Type="http://schemas.openxmlformats.org/officeDocument/2006/relationships/header" Target="header5.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9D6799-177D-4FD1-BE61-66D0D1FE143A}"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AU"/>
        </a:p>
      </dgm:t>
    </dgm:pt>
    <dgm:pt modelId="{7E1BBAE1-FB91-4827-8100-A72605A3DEB6}">
      <dgm:prSet phldrT="[Text]" custT="1"/>
      <dgm:spPr>
        <a:solidFill>
          <a:schemeClr val="accent5"/>
        </a:solidFill>
      </dgm:spPr>
      <dgm:t>
        <a:bodyPr/>
        <a:lstStyle/>
        <a:p>
          <a:pPr algn="ctr"/>
          <a:r>
            <a:rPr lang="en-AU" sz="1200" b="1" dirty="0"/>
            <a:t>Human rights</a:t>
          </a:r>
        </a:p>
      </dgm:t>
    </dgm:pt>
    <dgm:pt modelId="{9DC20FD5-1F20-43C2-B2E8-7F8ECBBF2757}" type="parTrans" cxnId="{CE06B90C-D5B0-4765-9764-DE5291BAFBE0}">
      <dgm:prSet/>
      <dgm:spPr/>
      <dgm:t>
        <a:bodyPr/>
        <a:lstStyle/>
        <a:p>
          <a:pPr algn="ctr"/>
          <a:endParaRPr lang="en-AU" sz="2400"/>
        </a:p>
      </dgm:t>
    </dgm:pt>
    <dgm:pt modelId="{5FA34C82-2BD8-4212-A4C5-8C233CEBFE2B}" type="sibTrans" cxnId="{CE06B90C-D5B0-4765-9764-DE5291BAFBE0}">
      <dgm:prSet/>
      <dgm:spPr/>
      <dgm:t>
        <a:bodyPr/>
        <a:lstStyle/>
        <a:p>
          <a:pPr algn="ctr"/>
          <a:endParaRPr lang="en-AU" sz="2400"/>
        </a:p>
      </dgm:t>
    </dgm:pt>
    <dgm:pt modelId="{02D013FD-5914-4DDF-B80A-1D7002190323}">
      <dgm:prSet phldrT="[Text]" custT="1"/>
      <dgm:spPr>
        <a:solidFill>
          <a:schemeClr val="accent5">
            <a:lumMod val="40000"/>
            <a:lumOff val="60000"/>
            <a:alpha val="50000"/>
          </a:schemeClr>
        </a:solidFill>
      </dgm:spPr>
      <dgm:t>
        <a:bodyPr/>
        <a:lstStyle/>
        <a:p>
          <a:pPr algn="ctr"/>
          <a:r>
            <a:rPr lang="en-AU" sz="1000" dirty="0"/>
            <a:t>Embedding human rights in aged care</a:t>
          </a:r>
        </a:p>
      </dgm:t>
    </dgm:pt>
    <dgm:pt modelId="{E3F5A891-C773-48EE-9672-BE747C4FD911}" type="parTrans" cxnId="{CF4AD0A1-D6E5-4A48-9DFE-92B2055C4F57}">
      <dgm:prSet/>
      <dgm:spPr/>
      <dgm:t>
        <a:bodyPr/>
        <a:lstStyle/>
        <a:p>
          <a:pPr algn="ctr"/>
          <a:endParaRPr lang="en-AU" sz="2400"/>
        </a:p>
      </dgm:t>
    </dgm:pt>
    <dgm:pt modelId="{4E61D3CF-9E3B-4FCC-8A15-D6F50054AC1C}" type="sibTrans" cxnId="{CF4AD0A1-D6E5-4A48-9DFE-92B2055C4F57}">
      <dgm:prSet/>
      <dgm:spPr/>
      <dgm:t>
        <a:bodyPr/>
        <a:lstStyle/>
        <a:p>
          <a:pPr algn="ctr"/>
          <a:endParaRPr lang="en-AU" sz="2400"/>
        </a:p>
      </dgm:t>
    </dgm:pt>
    <dgm:pt modelId="{ED16910B-6A46-4A63-95C8-BABD9D348F91}">
      <dgm:prSet phldrT="[Text]" custT="1"/>
      <dgm:spPr>
        <a:solidFill>
          <a:schemeClr val="accent5">
            <a:lumMod val="40000"/>
            <a:lumOff val="60000"/>
            <a:alpha val="49000"/>
          </a:schemeClr>
        </a:solidFill>
      </dgm:spPr>
      <dgm:t>
        <a:bodyPr/>
        <a:lstStyle/>
        <a:p>
          <a:pPr algn="ctr">
            <a:buFont typeface="Arial" panose="020B0604020202020204" pitchFamily="34" charset="0"/>
            <a:buChar char="•"/>
          </a:pPr>
          <a:r>
            <a:rPr lang="en-AU" sz="1000" dirty="0"/>
            <a:t>What does healing-aware, trauma-informed aged care actually look like?</a:t>
          </a:r>
        </a:p>
      </dgm:t>
    </dgm:pt>
    <dgm:pt modelId="{EE5F6050-07C1-4FA8-9D9F-6C19006038E7}" type="parTrans" cxnId="{BAF97335-5941-4DB6-9ACC-D14AB8E869F8}">
      <dgm:prSet/>
      <dgm:spPr/>
      <dgm:t>
        <a:bodyPr/>
        <a:lstStyle/>
        <a:p>
          <a:pPr algn="ctr"/>
          <a:endParaRPr lang="en-AU" sz="2400"/>
        </a:p>
      </dgm:t>
    </dgm:pt>
    <dgm:pt modelId="{33BA383E-EF44-4B47-B397-2124C50EFD92}" type="sibTrans" cxnId="{BAF97335-5941-4DB6-9ACC-D14AB8E869F8}">
      <dgm:prSet/>
      <dgm:spPr/>
      <dgm:t>
        <a:bodyPr/>
        <a:lstStyle/>
        <a:p>
          <a:pPr algn="ctr"/>
          <a:endParaRPr lang="en-AU" sz="2400"/>
        </a:p>
      </dgm:t>
    </dgm:pt>
    <dgm:pt modelId="{AF5688F8-AFE5-492D-B14C-2E11CA61BDB7}">
      <dgm:prSet phldrT="[Text]" custT="1"/>
      <dgm:spPr>
        <a:solidFill>
          <a:schemeClr val="accent6">
            <a:lumMod val="75000"/>
          </a:schemeClr>
        </a:solidFill>
      </dgm:spPr>
      <dgm:t>
        <a:bodyPr/>
        <a:lstStyle/>
        <a:p>
          <a:pPr algn="ctr"/>
          <a:r>
            <a:rPr lang="en-AU" sz="1200" b="1" dirty="0"/>
            <a:t>An equitable, sustainable aged care system</a:t>
          </a:r>
        </a:p>
      </dgm:t>
    </dgm:pt>
    <dgm:pt modelId="{886FF9D6-A860-4674-8F79-6FB5875A6BEE}" type="parTrans" cxnId="{339ABC7A-D372-41AF-AEBB-3AF2CE303A1F}">
      <dgm:prSet/>
      <dgm:spPr/>
      <dgm:t>
        <a:bodyPr/>
        <a:lstStyle/>
        <a:p>
          <a:pPr algn="ctr"/>
          <a:endParaRPr lang="en-AU" sz="2400"/>
        </a:p>
      </dgm:t>
    </dgm:pt>
    <dgm:pt modelId="{F035B595-6293-4D7C-B9EF-C0F1395C26D7}" type="sibTrans" cxnId="{339ABC7A-D372-41AF-AEBB-3AF2CE303A1F}">
      <dgm:prSet/>
      <dgm:spPr/>
      <dgm:t>
        <a:bodyPr/>
        <a:lstStyle/>
        <a:p>
          <a:pPr algn="ctr"/>
          <a:endParaRPr lang="en-AU" sz="2400"/>
        </a:p>
      </dgm:t>
    </dgm:pt>
    <dgm:pt modelId="{A58C926E-1116-4BD3-AF01-5260FA34EB71}">
      <dgm:prSet phldrT="[Text]" custT="1"/>
      <dgm:spPr>
        <a:solidFill>
          <a:schemeClr val="accent6">
            <a:lumMod val="60000"/>
            <a:lumOff val="40000"/>
            <a:alpha val="49000"/>
          </a:schemeClr>
        </a:solidFill>
      </dgm:spPr>
      <dgm:t>
        <a:bodyPr/>
        <a:lstStyle/>
        <a:p>
          <a:pPr algn="ctr">
            <a:buFont typeface="Arial" panose="020B0604020202020204" pitchFamily="34" charset="0"/>
            <a:buChar char="•"/>
          </a:pPr>
          <a:r>
            <a:rPr lang="en-AU" sz="1000" dirty="0"/>
            <a:t>Co-payments – are they breaching rights and actually costing the system more?</a:t>
          </a:r>
        </a:p>
      </dgm:t>
    </dgm:pt>
    <dgm:pt modelId="{B16F44C9-125A-42C4-93F2-B097F843D103}" type="parTrans" cxnId="{51E540A6-30FF-4F2E-BB12-FCE828778D6C}">
      <dgm:prSet/>
      <dgm:spPr/>
      <dgm:t>
        <a:bodyPr/>
        <a:lstStyle/>
        <a:p>
          <a:pPr algn="ctr"/>
          <a:endParaRPr lang="en-AU" sz="2400"/>
        </a:p>
      </dgm:t>
    </dgm:pt>
    <dgm:pt modelId="{524DD892-E7AC-46E1-A317-62C36D813563}" type="sibTrans" cxnId="{51E540A6-30FF-4F2E-BB12-FCE828778D6C}">
      <dgm:prSet/>
      <dgm:spPr/>
      <dgm:t>
        <a:bodyPr/>
        <a:lstStyle/>
        <a:p>
          <a:pPr algn="ctr"/>
          <a:endParaRPr lang="en-AU" sz="2400"/>
        </a:p>
      </dgm:t>
    </dgm:pt>
    <dgm:pt modelId="{0EAFDA43-2807-45A5-AD1D-043CC8517420}">
      <dgm:prSet phldrT="[Text]" custT="1"/>
      <dgm:spPr>
        <a:solidFill>
          <a:schemeClr val="accent6">
            <a:lumMod val="60000"/>
            <a:lumOff val="40000"/>
            <a:alpha val="49000"/>
          </a:schemeClr>
        </a:solidFill>
      </dgm:spPr>
      <dgm:t>
        <a:bodyPr/>
        <a:lstStyle/>
        <a:p>
          <a:pPr algn="ctr">
            <a:buFont typeface="Arial" panose="020B0604020202020204" pitchFamily="34" charset="0"/>
            <a:buChar char="•"/>
          </a:pPr>
          <a:r>
            <a:rPr lang="en-AU" sz="1000" dirty="0"/>
            <a:t>The interface between NDIS and aged care</a:t>
          </a:r>
        </a:p>
      </dgm:t>
    </dgm:pt>
    <dgm:pt modelId="{14B890EA-3A87-48CD-B7F5-D7EBBFED2F3F}" type="parTrans" cxnId="{A1154B5A-64A9-4D39-B72B-9841BDDCD3F3}">
      <dgm:prSet/>
      <dgm:spPr/>
      <dgm:t>
        <a:bodyPr/>
        <a:lstStyle/>
        <a:p>
          <a:pPr algn="ctr"/>
          <a:endParaRPr lang="en-AU" sz="2400"/>
        </a:p>
      </dgm:t>
    </dgm:pt>
    <dgm:pt modelId="{4C6AFF30-341E-415D-80F4-24EA2DB8BC59}" type="sibTrans" cxnId="{A1154B5A-64A9-4D39-B72B-9841BDDCD3F3}">
      <dgm:prSet/>
      <dgm:spPr/>
      <dgm:t>
        <a:bodyPr/>
        <a:lstStyle/>
        <a:p>
          <a:pPr algn="ctr"/>
          <a:endParaRPr lang="en-AU" sz="2400"/>
        </a:p>
      </dgm:t>
    </dgm:pt>
    <dgm:pt modelId="{922A0DEF-75E2-4AF5-8CBB-13AB1815E34E}">
      <dgm:prSet phldrT="[Text]" custT="1"/>
      <dgm:spPr>
        <a:solidFill>
          <a:schemeClr val="tx1">
            <a:lumMod val="65000"/>
            <a:lumOff val="35000"/>
          </a:schemeClr>
        </a:solidFill>
      </dgm:spPr>
      <dgm:t>
        <a:bodyPr/>
        <a:lstStyle/>
        <a:p>
          <a:pPr algn="ctr"/>
          <a:r>
            <a:rPr lang="en-AU" sz="1200" b="1" dirty="0"/>
            <a:t>Reliable safeguarding and oversight of the system</a:t>
          </a:r>
        </a:p>
      </dgm:t>
    </dgm:pt>
    <dgm:pt modelId="{FC9AEF1C-E773-4B8B-B040-99F3D2686432}" type="parTrans" cxnId="{9B1863D2-6166-471F-965B-D1229485B92A}">
      <dgm:prSet/>
      <dgm:spPr/>
      <dgm:t>
        <a:bodyPr/>
        <a:lstStyle/>
        <a:p>
          <a:pPr algn="ctr"/>
          <a:endParaRPr lang="en-AU" sz="2400"/>
        </a:p>
      </dgm:t>
    </dgm:pt>
    <dgm:pt modelId="{0449E36D-F7E8-4BF1-A5AB-61646973E77F}" type="sibTrans" cxnId="{9B1863D2-6166-471F-965B-D1229485B92A}">
      <dgm:prSet/>
      <dgm:spPr/>
      <dgm:t>
        <a:bodyPr/>
        <a:lstStyle/>
        <a:p>
          <a:pPr algn="ctr"/>
          <a:endParaRPr lang="en-AU" sz="2400"/>
        </a:p>
      </dgm:t>
    </dgm:pt>
    <dgm:pt modelId="{D2EB30C3-6592-41BB-AD7E-28B187F58F63}">
      <dgm:prSet custT="1"/>
      <dgm:spPr>
        <a:solidFill>
          <a:schemeClr val="accent4">
            <a:lumMod val="60000"/>
            <a:lumOff val="40000"/>
            <a:alpha val="90000"/>
          </a:schemeClr>
        </a:solidFill>
        <a:ln w="34925"/>
      </dgm:spPr>
      <dgm:t>
        <a:bodyPr/>
        <a:lstStyle/>
        <a:p>
          <a:pPr algn="ctr">
            <a:buFont typeface="Arial" panose="020B0604020202020204" pitchFamily="34" charset="0"/>
            <a:buChar char="•"/>
          </a:pPr>
          <a:r>
            <a:rPr lang="en-AU" sz="1000" dirty="0"/>
            <a:t>What does a human rights focussed, person-centred complaints system look like</a:t>
          </a:r>
        </a:p>
      </dgm:t>
    </dgm:pt>
    <dgm:pt modelId="{94B89C98-C0F9-4CAF-BB7C-3C595D1ABA6B}" type="parTrans" cxnId="{8E68D88C-EC9A-47D2-9A22-1D7A83EECA0D}">
      <dgm:prSet/>
      <dgm:spPr/>
      <dgm:t>
        <a:bodyPr/>
        <a:lstStyle/>
        <a:p>
          <a:pPr algn="ctr"/>
          <a:endParaRPr lang="en-AU" sz="2400"/>
        </a:p>
      </dgm:t>
    </dgm:pt>
    <dgm:pt modelId="{65B0356D-EDC1-486A-82B2-DC3EFC127D01}" type="sibTrans" cxnId="{8E68D88C-EC9A-47D2-9A22-1D7A83EECA0D}">
      <dgm:prSet/>
      <dgm:spPr/>
      <dgm:t>
        <a:bodyPr/>
        <a:lstStyle/>
        <a:p>
          <a:pPr algn="ctr"/>
          <a:endParaRPr lang="en-AU" sz="2400"/>
        </a:p>
      </dgm:t>
    </dgm:pt>
    <dgm:pt modelId="{D6AD119C-ADE8-40FB-B584-B098E5BB3BB4}">
      <dgm:prSet custT="1"/>
      <dgm:spPr>
        <a:solidFill>
          <a:schemeClr val="accent4">
            <a:lumMod val="60000"/>
            <a:lumOff val="40000"/>
            <a:alpha val="90000"/>
          </a:schemeClr>
        </a:solidFill>
        <a:ln w="34925"/>
      </dgm:spPr>
      <dgm:t>
        <a:bodyPr/>
        <a:lstStyle/>
        <a:p>
          <a:pPr algn="ctr"/>
          <a:r>
            <a:rPr lang="en-AU" sz="1000" dirty="0"/>
            <a:t>How can the full definition of high quality care be achieved? How is it done elsewhere?</a:t>
          </a:r>
        </a:p>
      </dgm:t>
    </dgm:pt>
    <dgm:pt modelId="{AAABDEFB-6F5D-4D65-9B36-1946178AE8CE}" type="parTrans" cxnId="{66545321-F366-41EB-BA24-A3317A43E1FA}">
      <dgm:prSet/>
      <dgm:spPr/>
      <dgm:t>
        <a:bodyPr/>
        <a:lstStyle/>
        <a:p>
          <a:pPr algn="ctr"/>
          <a:endParaRPr lang="en-AU" sz="2400"/>
        </a:p>
      </dgm:t>
    </dgm:pt>
    <dgm:pt modelId="{21E623A4-D8D1-45E6-8B35-957D9CA27436}" type="sibTrans" cxnId="{66545321-F366-41EB-BA24-A3317A43E1FA}">
      <dgm:prSet/>
      <dgm:spPr/>
      <dgm:t>
        <a:bodyPr/>
        <a:lstStyle/>
        <a:p>
          <a:pPr algn="ctr"/>
          <a:endParaRPr lang="en-AU" sz="2400"/>
        </a:p>
      </dgm:t>
    </dgm:pt>
    <dgm:pt modelId="{0898B25F-D938-492B-8B57-EEC534D64898}">
      <dgm:prSet custT="1"/>
      <dgm:spPr>
        <a:solidFill>
          <a:schemeClr val="accent4">
            <a:lumMod val="60000"/>
            <a:lumOff val="40000"/>
            <a:alpha val="90000"/>
          </a:schemeClr>
        </a:solidFill>
        <a:ln w="34925"/>
      </dgm:spPr>
      <dgm:t>
        <a:bodyPr/>
        <a:lstStyle/>
        <a:p>
          <a:pPr algn="ctr">
            <a:buFont typeface="Arial" panose="020B0604020202020204" pitchFamily="34" charset="0"/>
            <a:buChar char="•"/>
          </a:pPr>
          <a:r>
            <a:rPr lang="en-AU" sz="1000" dirty="0"/>
            <a:t>Restrictive Practices; what is needed for true reduction and elimination?</a:t>
          </a:r>
        </a:p>
      </dgm:t>
    </dgm:pt>
    <dgm:pt modelId="{634C0664-CC47-4065-A183-B7911B5A0044}" type="parTrans" cxnId="{82AC765C-8FAD-402D-B645-4164094E10B0}">
      <dgm:prSet/>
      <dgm:spPr/>
      <dgm:t>
        <a:bodyPr/>
        <a:lstStyle/>
        <a:p>
          <a:pPr algn="ctr"/>
          <a:endParaRPr lang="en-AU" sz="2400"/>
        </a:p>
      </dgm:t>
    </dgm:pt>
    <dgm:pt modelId="{376904F7-8F46-40AE-B1EE-EBB9554CF353}" type="sibTrans" cxnId="{82AC765C-8FAD-402D-B645-4164094E10B0}">
      <dgm:prSet/>
      <dgm:spPr/>
      <dgm:t>
        <a:bodyPr/>
        <a:lstStyle/>
        <a:p>
          <a:pPr algn="ctr"/>
          <a:endParaRPr lang="en-AU" sz="2400"/>
        </a:p>
      </dgm:t>
    </dgm:pt>
    <dgm:pt modelId="{B39E2B43-0B86-4F60-82A6-36F7FC28EBC7}">
      <dgm:prSet custT="1"/>
      <dgm:spPr>
        <a:solidFill>
          <a:schemeClr val="accent4">
            <a:lumMod val="60000"/>
            <a:lumOff val="40000"/>
            <a:alpha val="90000"/>
          </a:schemeClr>
        </a:solidFill>
        <a:ln w="34925"/>
      </dgm:spPr>
      <dgm:t>
        <a:bodyPr/>
        <a:lstStyle/>
        <a:p>
          <a:pPr algn="ctr">
            <a:buFont typeface="Arial" panose="020B0604020202020204" pitchFamily="34" charset="0"/>
            <a:buChar char="•"/>
          </a:pPr>
          <a:r>
            <a:rPr lang="en-AU" sz="1000" dirty="0"/>
            <a:t>A preventative approach to needing acute aged care (A public health/economy wide approach to aged care)</a:t>
          </a:r>
        </a:p>
      </dgm:t>
    </dgm:pt>
    <dgm:pt modelId="{943CD94E-C45F-4EDF-8BBC-66A4A1EA88D1}" type="parTrans" cxnId="{CBEFFE61-8FCF-4EC8-8C3A-B608BC94EBE1}">
      <dgm:prSet/>
      <dgm:spPr/>
      <dgm:t>
        <a:bodyPr/>
        <a:lstStyle/>
        <a:p>
          <a:pPr algn="ctr"/>
          <a:endParaRPr lang="en-AU" sz="2400"/>
        </a:p>
      </dgm:t>
    </dgm:pt>
    <dgm:pt modelId="{54D7497D-FEAC-4A02-B976-130853EB4BE3}" type="sibTrans" cxnId="{CBEFFE61-8FCF-4EC8-8C3A-B608BC94EBE1}">
      <dgm:prSet/>
      <dgm:spPr/>
      <dgm:t>
        <a:bodyPr/>
        <a:lstStyle/>
        <a:p>
          <a:pPr algn="ctr"/>
          <a:endParaRPr lang="en-AU" sz="2400"/>
        </a:p>
      </dgm:t>
    </dgm:pt>
    <dgm:pt modelId="{5C455D92-A29C-4B91-83F7-60B7F04F56AF}">
      <dgm:prSet custT="1"/>
      <dgm:spPr>
        <a:solidFill>
          <a:schemeClr val="accent4">
            <a:lumMod val="60000"/>
            <a:lumOff val="40000"/>
            <a:alpha val="90000"/>
          </a:schemeClr>
        </a:solidFill>
        <a:ln w="34925"/>
      </dgm:spPr>
      <dgm:t>
        <a:bodyPr/>
        <a:lstStyle/>
        <a:p>
          <a:pPr algn="ctr">
            <a:buFont typeface="Arial" panose="020B0604020202020204" pitchFamily="34" charset="0"/>
            <a:buChar char="•"/>
          </a:pPr>
          <a:r>
            <a:rPr lang="en-AU" sz="1000" dirty="0"/>
            <a:t>An approach to co-designing Aboriginal and Torres Strait Islander aged care (co-led with the First Nations Aged Care Commissioner </a:t>
          </a:r>
          <a:r>
            <a:rPr lang="en-AU" sz="1100" dirty="0"/>
            <a:t>)</a:t>
          </a:r>
        </a:p>
      </dgm:t>
    </dgm:pt>
    <dgm:pt modelId="{46BE4BE9-822D-470D-B33A-FE86AC5C348E}" type="parTrans" cxnId="{B159A512-CEDF-4BA9-A517-2BEFC3F1EFD7}">
      <dgm:prSet/>
      <dgm:spPr/>
      <dgm:t>
        <a:bodyPr/>
        <a:lstStyle/>
        <a:p>
          <a:pPr algn="ctr"/>
          <a:endParaRPr lang="en-AU" sz="2400"/>
        </a:p>
      </dgm:t>
    </dgm:pt>
    <dgm:pt modelId="{CB4F98C2-CF24-457F-8425-2C48FF56A59B}" type="sibTrans" cxnId="{B159A512-CEDF-4BA9-A517-2BEFC3F1EFD7}">
      <dgm:prSet/>
      <dgm:spPr/>
      <dgm:t>
        <a:bodyPr/>
        <a:lstStyle/>
        <a:p>
          <a:pPr algn="ctr"/>
          <a:endParaRPr lang="en-AU" sz="2400"/>
        </a:p>
      </dgm:t>
    </dgm:pt>
    <dgm:pt modelId="{1F14C4DF-71AE-4E91-8D7B-3E9BCA17FB2A}">
      <dgm:prSet custT="1"/>
      <dgm:spPr>
        <a:solidFill>
          <a:schemeClr val="bg1">
            <a:lumMod val="85000"/>
            <a:alpha val="90000"/>
          </a:schemeClr>
        </a:solidFill>
      </dgm:spPr>
      <dgm:t>
        <a:bodyPr/>
        <a:lstStyle/>
        <a:p>
          <a:pPr algn="ctr">
            <a:buNone/>
          </a:pPr>
          <a:r>
            <a:rPr lang="en-AU" sz="1000" dirty="0"/>
            <a:t>Objective oversight of providers; the merits of a community visitor program in aged care that are the eyes and ears of the system</a:t>
          </a:r>
        </a:p>
      </dgm:t>
    </dgm:pt>
    <dgm:pt modelId="{AF38A4B5-932C-477E-8E21-9365BDAAD2EB}" type="sibTrans" cxnId="{718FD220-BE9A-4739-97CA-D781C9CFE60D}">
      <dgm:prSet/>
      <dgm:spPr/>
      <dgm:t>
        <a:bodyPr/>
        <a:lstStyle/>
        <a:p>
          <a:pPr algn="ctr"/>
          <a:endParaRPr lang="en-AU" sz="2400"/>
        </a:p>
      </dgm:t>
    </dgm:pt>
    <dgm:pt modelId="{F8FF7953-6D87-4486-810A-9993E3C93D42}" type="parTrans" cxnId="{718FD220-BE9A-4739-97CA-D781C9CFE60D}">
      <dgm:prSet/>
      <dgm:spPr/>
      <dgm:t>
        <a:bodyPr/>
        <a:lstStyle/>
        <a:p>
          <a:pPr algn="ctr"/>
          <a:endParaRPr lang="en-AU" sz="2400"/>
        </a:p>
      </dgm:t>
    </dgm:pt>
    <dgm:pt modelId="{B3E43F19-77D7-4D4A-AC65-5B94834BDDE6}" type="pres">
      <dgm:prSet presAssocID="{1C9D6799-177D-4FD1-BE61-66D0D1FE143A}" presName="diagram" presStyleCnt="0">
        <dgm:presLayoutVars>
          <dgm:chPref val="1"/>
          <dgm:dir/>
          <dgm:animOne val="branch"/>
          <dgm:animLvl val="lvl"/>
          <dgm:resizeHandles/>
        </dgm:presLayoutVars>
      </dgm:prSet>
      <dgm:spPr/>
    </dgm:pt>
    <dgm:pt modelId="{45AC84D1-716E-4E15-B408-66D21D12B106}" type="pres">
      <dgm:prSet presAssocID="{7E1BBAE1-FB91-4827-8100-A72605A3DEB6}" presName="root" presStyleCnt="0"/>
      <dgm:spPr/>
    </dgm:pt>
    <dgm:pt modelId="{89C891A8-B4B5-45AF-B6FB-740A388A675C}" type="pres">
      <dgm:prSet presAssocID="{7E1BBAE1-FB91-4827-8100-A72605A3DEB6}" presName="rootComposite" presStyleCnt="0"/>
      <dgm:spPr/>
    </dgm:pt>
    <dgm:pt modelId="{9800C057-04D8-45D5-AD66-73DC535DE007}" type="pres">
      <dgm:prSet presAssocID="{7E1BBAE1-FB91-4827-8100-A72605A3DEB6}" presName="rootText" presStyleLbl="node1" presStyleIdx="0" presStyleCnt="3" custScaleX="170568" custScaleY="144026"/>
      <dgm:spPr/>
    </dgm:pt>
    <dgm:pt modelId="{92FDB7E1-3DAB-42B6-83AB-EFC3EA3D3AD5}" type="pres">
      <dgm:prSet presAssocID="{7E1BBAE1-FB91-4827-8100-A72605A3DEB6}" presName="rootConnector" presStyleLbl="node1" presStyleIdx="0" presStyleCnt="3"/>
      <dgm:spPr/>
    </dgm:pt>
    <dgm:pt modelId="{2048FB36-477D-489A-9A91-445963C7576F}" type="pres">
      <dgm:prSet presAssocID="{7E1BBAE1-FB91-4827-8100-A72605A3DEB6}" presName="childShape" presStyleCnt="0"/>
      <dgm:spPr/>
    </dgm:pt>
    <dgm:pt modelId="{E2276BD3-03A8-46E4-913C-A8E09B6C62D4}" type="pres">
      <dgm:prSet presAssocID="{E3F5A891-C773-48EE-9672-BE747C4FD911}" presName="Name13" presStyleLbl="parChTrans1D2" presStyleIdx="0" presStyleCnt="10"/>
      <dgm:spPr/>
    </dgm:pt>
    <dgm:pt modelId="{A1FF7F4A-EB1D-4E19-8465-373BB734FACF}" type="pres">
      <dgm:prSet presAssocID="{02D013FD-5914-4DDF-B80A-1D7002190323}" presName="childText" presStyleLbl="bgAcc1" presStyleIdx="0" presStyleCnt="10" custScaleX="168430" custScaleY="156317">
        <dgm:presLayoutVars>
          <dgm:bulletEnabled val="1"/>
        </dgm:presLayoutVars>
      </dgm:prSet>
      <dgm:spPr/>
    </dgm:pt>
    <dgm:pt modelId="{BFECA7FB-BF0A-4D68-A2A5-5D0ED04D317F}" type="pres">
      <dgm:prSet presAssocID="{AAABDEFB-6F5D-4D65-9B36-1946178AE8CE}" presName="Name13" presStyleLbl="parChTrans1D2" presStyleIdx="1" presStyleCnt="10"/>
      <dgm:spPr/>
    </dgm:pt>
    <dgm:pt modelId="{E78D09D7-AC22-4A4E-B8B1-FE4FBA3F58D4}" type="pres">
      <dgm:prSet presAssocID="{D6AD119C-ADE8-40FB-B584-B098E5BB3BB4}" presName="childText" presStyleLbl="bgAcc1" presStyleIdx="1" presStyleCnt="10" custScaleX="171348" custScaleY="161795">
        <dgm:presLayoutVars>
          <dgm:bulletEnabled val="1"/>
        </dgm:presLayoutVars>
      </dgm:prSet>
      <dgm:spPr/>
    </dgm:pt>
    <dgm:pt modelId="{A5BCA266-AD38-41C3-BFF5-22475EED3BA3}" type="pres">
      <dgm:prSet presAssocID="{634C0664-CC47-4065-A183-B7911B5A0044}" presName="Name13" presStyleLbl="parChTrans1D2" presStyleIdx="2" presStyleCnt="10"/>
      <dgm:spPr/>
    </dgm:pt>
    <dgm:pt modelId="{D9263DA8-A3EB-43C0-97DF-5E8BD0F4811D}" type="pres">
      <dgm:prSet presAssocID="{0898B25F-D938-492B-8B57-EEC534D64898}" presName="childText" presStyleLbl="bgAcc1" presStyleIdx="2" presStyleCnt="10" custScaleX="177269" custScaleY="154296">
        <dgm:presLayoutVars>
          <dgm:bulletEnabled val="1"/>
        </dgm:presLayoutVars>
      </dgm:prSet>
      <dgm:spPr/>
    </dgm:pt>
    <dgm:pt modelId="{82D6C246-73CC-4266-B7CF-2FD535CD8A25}" type="pres">
      <dgm:prSet presAssocID="{EE5F6050-07C1-4FA8-9D9F-6C19006038E7}" presName="Name13" presStyleLbl="parChTrans1D2" presStyleIdx="3" presStyleCnt="10"/>
      <dgm:spPr/>
    </dgm:pt>
    <dgm:pt modelId="{5F9FAE1D-8644-4642-8BC1-1B293BBF97A6}" type="pres">
      <dgm:prSet presAssocID="{ED16910B-6A46-4A63-95C8-BABD9D348F91}" presName="childText" presStyleLbl="bgAcc1" presStyleIdx="3" presStyleCnt="10" custScaleX="172515" custScaleY="162239" custLinFactNeighborX="1081" custLinFactNeighborY="-8648">
        <dgm:presLayoutVars>
          <dgm:bulletEnabled val="1"/>
        </dgm:presLayoutVars>
      </dgm:prSet>
      <dgm:spPr/>
    </dgm:pt>
    <dgm:pt modelId="{958CA732-8C09-4DEF-8A9A-E60EB88F41B1}" type="pres">
      <dgm:prSet presAssocID="{AF5688F8-AFE5-492D-B14C-2E11CA61BDB7}" presName="root" presStyleCnt="0"/>
      <dgm:spPr/>
    </dgm:pt>
    <dgm:pt modelId="{540FDBEB-A2F9-456D-8545-FDD4A8F36E54}" type="pres">
      <dgm:prSet presAssocID="{AF5688F8-AFE5-492D-B14C-2E11CA61BDB7}" presName="rootComposite" presStyleCnt="0"/>
      <dgm:spPr/>
    </dgm:pt>
    <dgm:pt modelId="{68046052-F643-473D-B118-3DA84A9AA7CA}" type="pres">
      <dgm:prSet presAssocID="{AF5688F8-AFE5-492D-B14C-2E11CA61BDB7}" presName="rootText" presStyleLbl="node1" presStyleIdx="1" presStyleCnt="3" custScaleX="170568" custScaleY="144026" custLinFactNeighborY="-198"/>
      <dgm:spPr/>
    </dgm:pt>
    <dgm:pt modelId="{B7692D19-ED68-4CD5-A8BC-6AABE523939A}" type="pres">
      <dgm:prSet presAssocID="{AF5688F8-AFE5-492D-B14C-2E11CA61BDB7}" presName="rootConnector" presStyleLbl="node1" presStyleIdx="1" presStyleCnt="3"/>
      <dgm:spPr/>
    </dgm:pt>
    <dgm:pt modelId="{E37B5E00-324A-4165-A41A-7AC4E17B83E2}" type="pres">
      <dgm:prSet presAssocID="{AF5688F8-AFE5-492D-B14C-2E11CA61BDB7}" presName="childShape" presStyleCnt="0"/>
      <dgm:spPr/>
    </dgm:pt>
    <dgm:pt modelId="{A46F919B-2BD2-4958-ACAA-7ED1EDED5801}" type="pres">
      <dgm:prSet presAssocID="{B16F44C9-125A-42C4-93F2-B097F843D103}" presName="Name13" presStyleLbl="parChTrans1D2" presStyleIdx="4" presStyleCnt="10"/>
      <dgm:spPr/>
    </dgm:pt>
    <dgm:pt modelId="{86E78664-4922-4CE3-98B6-EA01F53DEEB3}" type="pres">
      <dgm:prSet presAssocID="{A58C926E-1116-4BD3-AF01-5260FA34EB71}" presName="childText" presStyleLbl="bgAcc1" presStyleIdx="4" presStyleCnt="10" custScaleX="190192" custScaleY="137113">
        <dgm:presLayoutVars>
          <dgm:bulletEnabled val="1"/>
        </dgm:presLayoutVars>
      </dgm:prSet>
      <dgm:spPr/>
    </dgm:pt>
    <dgm:pt modelId="{1F7013E1-A676-436D-8941-069DE49E4104}" type="pres">
      <dgm:prSet presAssocID="{943CD94E-C45F-4EDF-8BBC-66A4A1EA88D1}" presName="Name13" presStyleLbl="parChTrans1D2" presStyleIdx="5" presStyleCnt="10"/>
      <dgm:spPr/>
    </dgm:pt>
    <dgm:pt modelId="{03C18F1C-F483-4A32-A169-AB80DFA5A3F4}" type="pres">
      <dgm:prSet presAssocID="{B39E2B43-0B86-4F60-82A6-36F7FC28EBC7}" presName="childText" presStyleLbl="bgAcc1" presStyleIdx="5" presStyleCnt="10" custScaleX="203094" custScaleY="208444">
        <dgm:presLayoutVars>
          <dgm:bulletEnabled val="1"/>
        </dgm:presLayoutVars>
      </dgm:prSet>
      <dgm:spPr/>
    </dgm:pt>
    <dgm:pt modelId="{33C42541-E5E6-41E9-85B5-F4DC4FA98112}" type="pres">
      <dgm:prSet presAssocID="{46BE4BE9-822D-470D-B33A-FE86AC5C348E}" presName="Name13" presStyleLbl="parChTrans1D2" presStyleIdx="6" presStyleCnt="10"/>
      <dgm:spPr/>
    </dgm:pt>
    <dgm:pt modelId="{B9644D5D-78A8-4421-BF22-8E7315ED1F1F}" type="pres">
      <dgm:prSet presAssocID="{5C455D92-A29C-4B91-83F7-60B7F04F56AF}" presName="childText" presStyleLbl="bgAcc1" presStyleIdx="6" presStyleCnt="10" custScaleX="211046" custScaleY="191636" custLinFactNeighborX="2501" custLinFactNeighborY="2668">
        <dgm:presLayoutVars>
          <dgm:bulletEnabled val="1"/>
        </dgm:presLayoutVars>
      </dgm:prSet>
      <dgm:spPr/>
    </dgm:pt>
    <dgm:pt modelId="{BC0E737D-8CBF-4C64-89D3-4B47940E74DB}" type="pres">
      <dgm:prSet presAssocID="{14B890EA-3A87-48CD-B7F5-D7EBBFED2F3F}" presName="Name13" presStyleLbl="parChTrans1D2" presStyleIdx="7" presStyleCnt="10"/>
      <dgm:spPr/>
    </dgm:pt>
    <dgm:pt modelId="{983FEEB3-C3C1-4373-9CB6-6F10FB0E72BB}" type="pres">
      <dgm:prSet presAssocID="{0EAFDA43-2807-45A5-AD1D-043CC8517420}" presName="childText" presStyleLbl="bgAcc1" presStyleIdx="7" presStyleCnt="10" custScaleX="205880" custScaleY="131688">
        <dgm:presLayoutVars>
          <dgm:bulletEnabled val="1"/>
        </dgm:presLayoutVars>
      </dgm:prSet>
      <dgm:spPr/>
    </dgm:pt>
    <dgm:pt modelId="{551BC304-E451-4A9F-810F-45086970B870}" type="pres">
      <dgm:prSet presAssocID="{922A0DEF-75E2-4AF5-8CBB-13AB1815E34E}" presName="root" presStyleCnt="0"/>
      <dgm:spPr/>
    </dgm:pt>
    <dgm:pt modelId="{E99533BF-41AC-4EE3-A064-6248BC138709}" type="pres">
      <dgm:prSet presAssocID="{922A0DEF-75E2-4AF5-8CBB-13AB1815E34E}" presName="rootComposite" presStyleCnt="0"/>
      <dgm:spPr/>
    </dgm:pt>
    <dgm:pt modelId="{AEE4C294-EA3D-434B-B157-525DAAAF9F69}" type="pres">
      <dgm:prSet presAssocID="{922A0DEF-75E2-4AF5-8CBB-13AB1815E34E}" presName="rootText" presStyleLbl="node1" presStyleIdx="2" presStyleCnt="3" custScaleX="170568" custScaleY="144026"/>
      <dgm:spPr/>
    </dgm:pt>
    <dgm:pt modelId="{5F06E896-9474-439B-975C-52A84D803656}" type="pres">
      <dgm:prSet presAssocID="{922A0DEF-75E2-4AF5-8CBB-13AB1815E34E}" presName="rootConnector" presStyleLbl="node1" presStyleIdx="2" presStyleCnt="3"/>
      <dgm:spPr/>
    </dgm:pt>
    <dgm:pt modelId="{52FDBD45-C5A1-4444-8D6F-C61F2FBD19CC}" type="pres">
      <dgm:prSet presAssocID="{922A0DEF-75E2-4AF5-8CBB-13AB1815E34E}" presName="childShape" presStyleCnt="0"/>
      <dgm:spPr/>
    </dgm:pt>
    <dgm:pt modelId="{64B72C5D-D8CD-473D-8D90-F4C8F6B09BD6}" type="pres">
      <dgm:prSet presAssocID="{94B89C98-C0F9-4CAF-BB7C-3C595D1ABA6B}" presName="Name13" presStyleLbl="parChTrans1D2" presStyleIdx="8" presStyleCnt="10"/>
      <dgm:spPr/>
    </dgm:pt>
    <dgm:pt modelId="{309B8060-CFE1-443E-929A-6B77A643BE33}" type="pres">
      <dgm:prSet presAssocID="{D2EB30C3-6592-41BB-AD7E-28B187F58F63}" presName="childText" presStyleLbl="bgAcc1" presStyleIdx="8" presStyleCnt="10" custScaleX="165954" custScaleY="195134">
        <dgm:presLayoutVars>
          <dgm:bulletEnabled val="1"/>
        </dgm:presLayoutVars>
      </dgm:prSet>
      <dgm:spPr/>
    </dgm:pt>
    <dgm:pt modelId="{337F3E1A-2CC1-413A-990E-13ADBFAF3041}" type="pres">
      <dgm:prSet presAssocID="{F8FF7953-6D87-4486-810A-9993E3C93D42}" presName="Name13" presStyleLbl="parChTrans1D2" presStyleIdx="9" presStyleCnt="10"/>
      <dgm:spPr/>
    </dgm:pt>
    <dgm:pt modelId="{ED3B1982-909E-489E-8678-3F8849295932}" type="pres">
      <dgm:prSet presAssocID="{1F14C4DF-71AE-4E91-8D7B-3E9BCA17FB2A}" presName="childText" presStyleLbl="bgAcc1" presStyleIdx="9" presStyleCnt="10" custScaleX="165954" custScaleY="279174" custLinFactNeighborX="-1546" custLinFactNeighborY="43282">
        <dgm:presLayoutVars>
          <dgm:bulletEnabled val="1"/>
        </dgm:presLayoutVars>
      </dgm:prSet>
      <dgm:spPr/>
    </dgm:pt>
  </dgm:ptLst>
  <dgm:cxnLst>
    <dgm:cxn modelId="{8919110A-7980-46C9-8ADF-BCB80B93F36F}" type="presOf" srcId="{922A0DEF-75E2-4AF5-8CBB-13AB1815E34E}" destId="{AEE4C294-EA3D-434B-B157-525DAAAF9F69}" srcOrd="0" destOrd="0" presId="urn:microsoft.com/office/officeart/2005/8/layout/hierarchy3"/>
    <dgm:cxn modelId="{CE06B90C-D5B0-4765-9764-DE5291BAFBE0}" srcId="{1C9D6799-177D-4FD1-BE61-66D0D1FE143A}" destId="{7E1BBAE1-FB91-4827-8100-A72605A3DEB6}" srcOrd="0" destOrd="0" parTransId="{9DC20FD5-1F20-43C2-B2E8-7F8ECBBF2757}" sibTransId="{5FA34C82-2BD8-4212-A4C5-8C233CEBFE2B}"/>
    <dgm:cxn modelId="{B159A512-CEDF-4BA9-A517-2BEFC3F1EFD7}" srcId="{AF5688F8-AFE5-492D-B14C-2E11CA61BDB7}" destId="{5C455D92-A29C-4B91-83F7-60B7F04F56AF}" srcOrd="2" destOrd="0" parTransId="{46BE4BE9-822D-470D-B33A-FE86AC5C348E}" sibTransId="{CB4F98C2-CF24-457F-8425-2C48FF56A59B}"/>
    <dgm:cxn modelId="{718FD220-BE9A-4739-97CA-D781C9CFE60D}" srcId="{922A0DEF-75E2-4AF5-8CBB-13AB1815E34E}" destId="{1F14C4DF-71AE-4E91-8D7B-3E9BCA17FB2A}" srcOrd="1" destOrd="0" parTransId="{F8FF7953-6D87-4486-810A-9993E3C93D42}" sibTransId="{AF38A4B5-932C-477E-8E21-9365BDAAD2EB}"/>
    <dgm:cxn modelId="{66545321-F366-41EB-BA24-A3317A43E1FA}" srcId="{7E1BBAE1-FB91-4827-8100-A72605A3DEB6}" destId="{D6AD119C-ADE8-40FB-B584-B098E5BB3BB4}" srcOrd="1" destOrd="0" parTransId="{AAABDEFB-6F5D-4D65-9B36-1946178AE8CE}" sibTransId="{21E623A4-D8D1-45E6-8B35-957D9CA27436}"/>
    <dgm:cxn modelId="{C93C592D-E82A-4B4E-B106-BCE802D1664C}" type="presOf" srcId="{F8FF7953-6D87-4486-810A-9993E3C93D42}" destId="{337F3E1A-2CC1-413A-990E-13ADBFAF3041}" srcOrd="0" destOrd="0" presId="urn:microsoft.com/office/officeart/2005/8/layout/hierarchy3"/>
    <dgm:cxn modelId="{4991D834-E93A-406D-A474-CD603142182A}" type="presOf" srcId="{943CD94E-C45F-4EDF-8BBC-66A4A1EA88D1}" destId="{1F7013E1-A676-436D-8941-069DE49E4104}" srcOrd="0" destOrd="0" presId="urn:microsoft.com/office/officeart/2005/8/layout/hierarchy3"/>
    <dgm:cxn modelId="{BAF97335-5941-4DB6-9ACC-D14AB8E869F8}" srcId="{7E1BBAE1-FB91-4827-8100-A72605A3DEB6}" destId="{ED16910B-6A46-4A63-95C8-BABD9D348F91}" srcOrd="3" destOrd="0" parTransId="{EE5F6050-07C1-4FA8-9D9F-6C19006038E7}" sibTransId="{33BA383E-EF44-4B47-B397-2124C50EFD92}"/>
    <dgm:cxn modelId="{9E24713C-F86F-43C9-8B09-3094A7002554}" type="presOf" srcId="{A58C926E-1116-4BD3-AF01-5260FA34EB71}" destId="{86E78664-4922-4CE3-98B6-EA01F53DEEB3}" srcOrd="0" destOrd="0" presId="urn:microsoft.com/office/officeart/2005/8/layout/hierarchy3"/>
    <dgm:cxn modelId="{82AC765C-8FAD-402D-B645-4164094E10B0}" srcId="{7E1BBAE1-FB91-4827-8100-A72605A3DEB6}" destId="{0898B25F-D938-492B-8B57-EEC534D64898}" srcOrd="2" destOrd="0" parTransId="{634C0664-CC47-4065-A183-B7911B5A0044}" sibTransId="{376904F7-8F46-40AE-B1EE-EBB9554CF353}"/>
    <dgm:cxn modelId="{CBEFFE61-8FCF-4EC8-8C3A-B608BC94EBE1}" srcId="{AF5688F8-AFE5-492D-B14C-2E11CA61BDB7}" destId="{B39E2B43-0B86-4F60-82A6-36F7FC28EBC7}" srcOrd="1" destOrd="0" parTransId="{943CD94E-C45F-4EDF-8BBC-66A4A1EA88D1}" sibTransId="{54D7497D-FEAC-4A02-B976-130853EB4BE3}"/>
    <dgm:cxn modelId="{DFCC0463-0CCA-4E5B-8D34-99D21A295EBC}" type="presOf" srcId="{B39E2B43-0B86-4F60-82A6-36F7FC28EBC7}" destId="{03C18F1C-F483-4A32-A169-AB80DFA5A3F4}" srcOrd="0" destOrd="0" presId="urn:microsoft.com/office/officeart/2005/8/layout/hierarchy3"/>
    <dgm:cxn modelId="{0E0B394E-0A65-4DD4-9210-888A6EC18CC8}" type="presOf" srcId="{E3F5A891-C773-48EE-9672-BE747C4FD911}" destId="{E2276BD3-03A8-46E4-913C-A8E09B6C62D4}" srcOrd="0" destOrd="0" presId="urn:microsoft.com/office/officeart/2005/8/layout/hierarchy3"/>
    <dgm:cxn modelId="{F7EF0E70-5EC7-4D40-A8E1-CA51447BAFA2}" type="presOf" srcId="{D6AD119C-ADE8-40FB-B584-B098E5BB3BB4}" destId="{E78D09D7-AC22-4A4E-B8B1-FE4FBA3F58D4}" srcOrd="0" destOrd="0" presId="urn:microsoft.com/office/officeart/2005/8/layout/hierarchy3"/>
    <dgm:cxn modelId="{31F79A71-4B0C-48CF-BE1D-3E8BF503922C}" type="presOf" srcId="{5C455D92-A29C-4B91-83F7-60B7F04F56AF}" destId="{B9644D5D-78A8-4421-BF22-8E7315ED1F1F}" srcOrd="0" destOrd="0" presId="urn:microsoft.com/office/officeart/2005/8/layout/hierarchy3"/>
    <dgm:cxn modelId="{9DB4EC71-177E-45EF-9B53-8CDCB46A05EB}" type="presOf" srcId="{1F14C4DF-71AE-4E91-8D7B-3E9BCA17FB2A}" destId="{ED3B1982-909E-489E-8678-3F8849295932}" srcOrd="0" destOrd="0" presId="urn:microsoft.com/office/officeart/2005/8/layout/hierarchy3"/>
    <dgm:cxn modelId="{68B79973-467F-476D-B041-E003AC2B0DF9}" type="presOf" srcId="{7E1BBAE1-FB91-4827-8100-A72605A3DEB6}" destId="{9800C057-04D8-45D5-AD66-73DC535DE007}" srcOrd="0" destOrd="0" presId="urn:microsoft.com/office/officeart/2005/8/layout/hierarchy3"/>
    <dgm:cxn modelId="{E76F3158-13FA-462A-8CE0-677F70AFB7BF}" type="presOf" srcId="{AF5688F8-AFE5-492D-B14C-2E11CA61BDB7}" destId="{B7692D19-ED68-4CD5-A8BC-6AABE523939A}" srcOrd="1" destOrd="0" presId="urn:microsoft.com/office/officeart/2005/8/layout/hierarchy3"/>
    <dgm:cxn modelId="{A1154B5A-64A9-4D39-B72B-9841BDDCD3F3}" srcId="{AF5688F8-AFE5-492D-B14C-2E11CA61BDB7}" destId="{0EAFDA43-2807-45A5-AD1D-043CC8517420}" srcOrd="3" destOrd="0" parTransId="{14B890EA-3A87-48CD-B7F5-D7EBBFED2F3F}" sibTransId="{4C6AFF30-341E-415D-80F4-24EA2DB8BC59}"/>
    <dgm:cxn modelId="{339ABC7A-D372-41AF-AEBB-3AF2CE303A1F}" srcId="{1C9D6799-177D-4FD1-BE61-66D0D1FE143A}" destId="{AF5688F8-AFE5-492D-B14C-2E11CA61BDB7}" srcOrd="1" destOrd="0" parTransId="{886FF9D6-A860-4674-8F79-6FB5875A6BEE}" sibTransId="{F035B595-6293-4D7C-B9EF-C0F1395C26D7}"/>
    <dgm:cxn modelId="{7ECA9980-3AFD-4B7E-AD84-0FF5BBAF82A2}" type="presOf" srcId="{0898B25F-D938-492B-8B57-EEC534D64898}" destId="{D9263DA8-A3EB-43C0-97DF-5E8BD0F4811D}" srcOrd="0" destOrd="0" presId="urn:microsoft.com/office/officeart/2005/8/layout/hierarchy3"/>
    <dgm:cxn modelId="{C736AE82-E43E-4571-9AA9-40DF65871B31}" type="presOf" srcId="{0EAFDA43-2807-45A5-AD1D-043CC8517420}" destId="{983FEEB3-C3C1-4373-9CB6-6F10FB0E72BB}" srcOrd="0" destOrd="0" presId="urn:microsoft.com/office/officeart/2005/8/layout/hierarchy3"/>
    <dgm:cxn modelId="{8E68D88C-EC9A-47D2-9A22-1D7A83EECA0D}" srcId="{922A0DEF-75E2-4AF5-8CBB-13AB1815E34E}" destId="{D2EB30C3-6592-41BB-AD7E-28B187F58F63}" srcOrd="0" destOrd="0" parTransId="{94B89C98-C0F9-4CAF-BB7C-3C595D1ABA6B}" sibTransId="{65B0356D-EDC1-486A-82B2-DC3EFC127D01}"/>
    <dgm:cxn modelId="{DC4EB293-8AFE-41F2-9CAB-E2D30A51203F}" type="presOf" srcId="{D2EB30C3-6592-41BB-AD7E-28B187F58F63}" destId="{309B8060-CFE1-443E-929A-6B77A643BE33}" srcOrd="0" destOrd="0" presId="urn:microsoft.com/office/officeart/2005/8/layout/hierarchy3"/>
    <dgm:cxn modelId="{CF4AD0A1-D6E5-4A48-9DFE-92B2055C4F57}" srcId="{7E1BBAE1-FB91-4827-8100-A72605A3DEB6}" destId="{02D013FD-5914-4DDF-B80A-1D7002190323}" srcOrd="0" destOrd="0" parTransId="{E3F5A891-C773-48EE-9672-BE747C4FD911}" sibTransId="{4E61D3CF-9E3B-4FCC-8A15-D6F50054AC1C}"/>
    <dgm:cxn modelId="{51E540A6-30FF-4F2E-BB12-FCE828778D6C}" srcId="{AF5688F8-AFE5-492D-B14C-2E11CA61BDB7}" destId="{A58C926E-1116-4BD3-AF01-5260FA34EB71}" srcOrd="0" destOrd="0" parTransId="{B16F44C9-125A-42C4-93F2-B097F843D103}" sibTransId="{524DD892-E7AC-46E1-A317-62C36D813563}"/>
    <dgm:cxn modelId="{86BCD1AE-08CA-4B6E-8310-898E1AD4DDF0}" type="presOf" srcId="{634C0664-CC47-4065-A183-B7911B5A0044}" destId="{A5BCA266-AD38-41C3-BFF5-22475EED3BA3}" srcOrd="0" destOrd="0" presId="urn:microsoft.com/office/officeart/2005/8/layout/hierarchy3"/>
    <dgm:cxn modelId="{1FA7D8B7-15B2-49FD-BF7C-0C0A85A1C266}" type="presOf" srcId="{14B890EA-3A87-48CD-B7F5-D7EBBFED2F3F}" destId="{BC0E737D-8CBF-4C64-89D3-4B47940E74DB}" srcOrd="0" destOrd="0" presId="urn:microsoft.com/office/officeart/2005/8/layout/hierarchy3"/>
    <dgm:cxn modelId="{C8FEBFB8-EE17-417E-ADE9-E889D85174C8}" type="presOf" srcId="{7E1BBAE1-FB91-4827-8100-A72605A3DEB6}" destId="{92FDB7E1-3DAB-42B6-83AB-EFC3EA3D3AD5}" srcOrd="1" destOrd="0" presId="urn:microsoft.com/office/officeart/2005/8/layout/hierarchy3"/>
    <dgm:cxn modelId="{2DF186C2-1556-4EA7-BB83-33DEE85C5E5A}" type="presOf" srcId="{94B89C98-C0F9-4CAF-BB7C-3C595D1ABA6B}" destId="{64B72C5D-D8CD-473D-8D90-F4C8F6B09BD6}" srcOrd="0" destOrd="0" presId="urn:microsoft.com/office/officeart/2005/8/layout/hierarchy3"/>
    <dgm:cxn modelId="{0AFEBCC3-1856-4FBE-ACB8-DB7AA3572BCE}" type="presOf" srcId="{46BE4BE9-822D-470D-B33A-FE86AC5C348E}" destId="{33C42541-E5E6-41E9-85B5-F4DC4FA98112}" srcOrd="0" destOrd="0" presId="urn:microsoft.com/office/officeart/2005/8/layout/hierarchy3"/>
    <dgm:cxn modelId="{9B1863D2-6166-471F-965B-D1229485B92A}" srcId="{1C9D6799-177D-4FD1-BE61-66D0D1FE143A}" destId="{922A0DEF-75E2-4AF5-8CBB-13AB1815E34E}" srcOrd="2" destOrd="0" parTransId="{FC9AEF1C-E773-4B8B-B040-99F3D2686432}" sibTransId="{0449E36D-F7E8-4BF1-A5AB-61646973E77F}"/>
    <dgm:cxn modelId="{41979DD9-8122-4AC5-AB41-2CCDF4CF8E9C}" type="presOf" srcId="{ED16910B-6A46-4A63-95C8-BABD9D348F91}" destId="{5F9FAE1D-8644-4642-8BC1-1B293BBF97A6}" srcOrd="0" destOrd="0" presId="urn:microsoft.com/office/officeart/2005/8/layout/hierarchy3"/>
    <dgm:cxn modelId="{0D58CBDA-E4AA-4A0B-BB93-5D97A45DF258}" type="presOf" srcId="{AAABDEFB-6F5D-4D65-9B36-1946178AE8CE}" destId="{BFECA7FB-BF0A-4D68-A2A5-5D0ED04D317F}" srcOrd="0" destOrd="0" presId="urn:microsoft.com/office/officeart/2005/8/layout/hierarchy3"/>
    <dgm:cxn modelId="{9F8CDADF-C906-49AC-9316-FDD74AC9B203}" type="presOf" srcId="{1C9D6799-177D-4FD1-BE61-66D0D1FE143A}" destId="{B3E43F19-77D7-4D4A-AC65-5B94834BDDE6}" srcOrd="0" destOrd="0" presId="urn:microsoft.com/office/officeart/2005/8/layout/hierarchy3"/>
    <dgm:cxn modelId="{EE8621E1-1876-4A63-9B19-6EB72DCF9293}" type="presOf" srcId="{922A0DEF-75E2-4AF5-8CBB-13AB1815E34E}" destId="{5F06E896-9474-439B-975C-52A84D803656}" srcOrd="1" destOrd="0" presId="urn:microsoft.com/office/officeart/2005/8/layout/hierarchy3"/>
    <dgm:cxn modelId="{0AFA65E3-972D-4BC0-A6D3-B85FCF9309D0}" type="presOf" srcId="{02D013FD-5914-4DDF-B80A-1D7002190323}" destId="{A1FF7F4A-EB1D-4E19-8465-373BB734FACF}" srcOrd="0" destOrd="0" presId="urn:microsoft.com/office/officeart/2005/8/layout/hierarchy3"/>
    <dgm:cxn modelId="{CFF8E4E5-5BC7-4528-931C-AFC16127072C}" type="presOf" srcId="{AF5688F8-AFE5-492D-B14C-2E11CA61BDB7}" destId="{68046052-F643-473D-B118-3DA84A9AA7CA}" srcOrd="0" destOrd="0" presId="urn:microsoft.com/office/officeart/2005/8/layout/hierarchy3"/>
    <dgm:cxn modelId="{9E053EF9-6112-4696-847B-9F9FD1A55A38}" type="presOf" srcId="{B16F44C9-125A-42C4-93F2-B097F843D103}" destId="{A46F919B-2BD2-4958-ACAA-7ED1EDED5801}" srcOrd="0" destOrd="0" presId="urn:microsoft.com/office/officeart/2005/8/layout/hierarchy3"/>
    <dgm:cxn modelId="{FAFD60FD-BA8D-4CA5-8D08-30DC62CAE329}" type="presOf" srcId="{EE5F6050-07C1-4FA8-9D9F-6C19006038E7}" destId="{82D6C246-73CC-4266-B7CF-2FD535CD8A25}" srcOrd="0" destOrd="0" presId="urn:microsoft.com/office/officeart/2005/8/layout/hierarchy3"/>
    <dgm:cxn modelId="{A0349EB0-BFA5-4906-9F79-FA2974E2A097}" type="presParOf" srcId="{B3E43F19-77D7-4D4A-AC65-5B94834BDDE6}" destId="{45AC84D1-716E-4E15-B408-66D21D12B106}" srcOrd="0" destOrd="0" presId="urn:microsoft.com/office/officeart/2005/8/layout/hierarchy3"/>
    <dgm:cxn modelId="{C080FFE1-212B-46B3-BC67-7EBD2B156DF4}" type="presParOf" srcId="{45AC84D1-716E-4E15-B408-66D21D12B106}" destId="{89C891A8-B4B5-45AF-B6FB-740A388A675C}" srcOrd="0" destOrd="0" presId="urn:microsoft.com/office/officeart/2005/8/layout/hierarchy3"/>
    <dgm:cxn modelId="{4C5549F2-545D-4BEC-9D52-C6440DA1B07C}" type="presParOf" srcId="{89C891A8-B4B5-45AF-B6FB-740A388A675C}" destId="{9800C057-04D8-45D5-AD66-73DC535DE007}" srcOrd="0" destOrd="0" presId="urn:microsoft.com/office/officeart/2005/8/layout/hierarchy3"/>
    <dgm:cxn modelId="{D7F5D611-2C01-4AFD-8C03-5ED7C9C3CA97}" type="presParOf" srcId="{89C891A8-B4B5-45AF-B6FB-740A388A675C}" destId="{92FDB7E1-3DAB-42B6-83AB-EFC3EA3D3AD5}" srcOrd="1" destOrd="0" presId="urn:microsoft.com/office/officeart/2005/8/layout/hierarchy3"/>
    <dgm:cxn modelId="{7E2A4BA9-0A45-4AD0-8152-8ADCADEC81B1}" type="presParOf" srcId="{45AC84D1-716E-4E15-B408-66D21D12B106}" destId="{2048FB36-477D-489A-9A91-445963C7576F}" srcOrd="1" destOrd="0" presId="urn:microsoft.com/office/officeart/2005/8/layout/hierarchy3"/>
    <dgm:cxn modelId="{4BC4F641-417A-417E-8B5D-5BEF4B894A59}" type="presParOf" srcId="{2048FB36-477D-489A-9A91-445963C7576F}" destId="{E2276BD3-03A8-46E4-913C-A8E09B6C62D4}" srcOrd="0" destOrd="0" presId="urn:microsoft.com/office/officeart/2005/8/layout/hierarchy3"/>
    <dgm:cxn modelId="{AB58CD30-8E8C-49C6-8964-E702132BD47F}" type="presParOf" srcId="{2048FB36-477D-489A-9A91-445963C7576F}" destId="{A1FF7F4A-EB1D-4E19-8465-373BB734FACF}" srcOrd="1" destOrd="0" presId="urn:microsoft.com/office/officeart/2005/8/layout/hierarchy3"/>
    <dgm:cxn modelId="{4B75D4F7-ABCA-441A-AC2D-AA72B59C2F49}" type="presParOf" srcId="{2048FB36-477D-489A-9A91-445963C7576F}" destId="{BFECA7FB-BF0A-4D68-A2A5-5D0ED04D317F}" srcOrd="2" destOrd="0" presId="urn:microsoft.com/office/officeart/2005/8/layout/hierarchy3"/>
    <dgm:cxn modelId="{C286ED00-07DF-4A4B-9DE3-BA1D63247A77}" type="presParOf" srcId="{2048FB36-477D-489A-9A91-445963C7576F}" destId="{E78D09D7-AC22-4A4E-B8B1-FE4FBA3F58D4}" srcOrd="3" destOrd="0" presId="urn:microsoft.com/office/officeart/2005/8/layout/hierarchy3"/>
    <dgm:cxn modelId="{BC631DDE-1548-4D07-9FAF-147C5CF10C8B}" type="presParOf" srcId="{2048FB36-477D-489A-9A91-445963C7576F}" destId="{A5BCA266-AD38-41C3-BFF5-22475EED3BA3}" srcOrd="4" destOrd="0" presId="urn:microsoft.com/office/officeart/2005/8/layout/hierarchy3"/>
    <dgm:cxn modelId="{231BF439-4F84-438D-BD45-4EFCA9940B1F}" type="presParOf" srcId="{2048FB36-477D-489A-9A91-445963C7576F}" destId="{D9263DA8-A3EB-43C0-97DF-5E8BD0F4811D}" srcOrd="5" destOrd="0" presId="urn:microsoft.com/office/officeart/2005/8/layout/hierarchy3"/>
    <dgm:cxn modelId="{5922606B-AF94-4575-AAE4-FBBA94562889}" type="presParOf" srcId="{2048FB36-477D-489A-9A91-445963C7576F}" destId="{82D6C246-73CC-4266-B7CF-2FD535CD8A25}" srcOrd="6" destOrd="0" presId="urn:microsoft.com/office/officeart/2005/8/layout/hierarchy3"/>
    <dgm:cxn modelId="{2272DA1A-2175-473A-ACD4-176CF7F02310}" type="presParOf" srcId="{2048FB36-477D-489A-9A91-445963C7576F}" destId="{5F9FAE1D-8644-4642-8BC1-1B293BBF97A6}" srcOrd="7" destOrd="0" presId="urn:microsoft.com/office/officeart/2005/8/layout/hierarchy3"/>
    <dgm:cxn modelId="{603672B1-C040-4850-AFDB-36537FAA0ABC}" type="presParOf" srcId="{B3E43F19-77D7-4D4A-AC65-5B94834BDDE6}" destId="{958CA732-8C09-4DEF-8A9A-E60EB88F41B1}" srcOrd="1" destOrd="0" presId="urn:microsoft.com/office/officeart/2005/8/layout/hierarchy3"/>
    <dgm:cxn modelId="{AB7A1001-CCC4-4A8C-ABD6-666F2DA6F77B}" type="presParOf" srcId="{958CA732-8C09-4DEF-8A9A-E60EB88F41B1}" destId="{540FDBEB-A2F9-456D-8545-FDD4A8F36E54}" srcOrd="0" destOrd="0" presId="urn:microsoft.com/office/officeart/2005/8/layout/hierarchy3"/>
    <dgm:cxn modelId="{4B1904AB-2002-48BC-94E6-1B6992BDBAD7}" type="presParOf" srcId="{540FDBEB-A2F9-456D-8545-FDD4A8F36E54}" destId="{68046052-F643-473D-B118-3DA84A9AA7CA}" srcOrd="0" destOrd="0" presId="urn:microsoft.com/office/officeart/2005/8/layout/hierarchy3"/>
    <dgm:cxn modelId="{90FB7941-0DC2-4E6A-9D1A-F1C5C11A122D}" type="presParOf" srcId="{540FDBEB-A2F9-456D-8545-FDD4A8F36E54}" destId="{B7692D19-ED68-4CD5-A8BC-6AABE523939A}" srcOrd="1" destOrd="0" presId="urn:microsoft.com/office/officeart/2005/8/layout/hierarchy3"/>
    <dgm:cxn modelId="{1336B0E8-89C3-4FC4-9CF8-D99F92950C33}" type="presParOf" srcId="{958CA732-8C09-4DEF-8A9A-E60EB88F41B1}" destId="{E37B5E00-324A-4165-A41A-7AC4E17B83E2}" srcOrd="1" destOrd="0" presId="urn:microsoft.com/office/officeart/2005/8/layout/hierarchy3"/>
    <dgm:cxn modelId="{F92E16EB-957E-405A-88B4-2871A573783F}" type="presParOf" srcId="{E37B5E00-324A-4165-A41A-7AC4E17B83E2}" destId="{A46F919B-2BD2-4958-ACAA-7ED1EDED5801}" srcOrd="0" destOrd="0" presId="urn:microsoft.com/office/officeart/2005/8/layout/hierarchy3"/>
    <dgm:cxn modelId="{F4DCDE88-EB5B-46E2-8B4C-789A11C373C2}" type="presParOf" srcId="{E37B5E00-324A-4165-A41A-7AC4E17B83E2}" destId="{86E78664-4922-4CE3-98B6-EA01F53DEEB3}" srcOrd="1" destOrd="0" presId="urn:microsoft.com/office/officeart/2005/8/layout/hierarchy3"/>
    <dgm:cxn modelId="{6A0918C8-D545-4B22-A509-B7306B575C06}" type="presParOf" srcId="{E37B5E00-324A-4165-A41A-7AC4E17B83E2}" destId="{1F7013E1-A676-436D-8941-069DE49E4104}" srcOrd="2" destOrd="0" presId="urn:microsoft.com/office/officeart/2005/8/layout/hierarchy3"/>
    <dgm:cxn modelId="{8FF977B5-BD0E-4402-ADDF-3D8C1C8F87A9}" type="presParOf" srcId="{E37B5E00-324A-4165-A41A-7AC4E17B83E2}" destId="{03C18F1C-F483-4A32-A169-AB80DFA5A3F4}" srcOrd="3" destOrd="0" presId="urn:microsoft.com/office/officeart/2005/8/layout/hierarchy3"/>
    <dgm:cxn modelId="{8842B8CE-4537-44B5-BFC3-223E0CA8D92D}" type="presParOf" srcId="{E37B5E00-324A-4165-A41A-7AC4E17B83E2}" destId="{33C42541-E5E6-41E9-85B5-F4DC4FA98112}" srcOrd="4" destOrd="0" presId="urn:microsoft.com/office/officeart/2005/8/layout/hierarchy3"/>
    <dgm:cxn modelId="{1CEB599F-027B-449C-8EEA-360CFE65B7D5}" type="presParOf" srcId="{E37B5E00-324A-4165-A41A-7AC4E17B83E2}" destId="{B9644D5D-78A8-4421-BF22-8E7315ED1F1F}" srcOrd="5" destOrd="0" presId="urn:microsoft.com/office/officeart/2005/8/layout/hierarchy3"/>
    <dgm:cxn modelId="{42CAEFD7-7A43-4786-95C1-2DAAD6D2EF92}" type="presParOf" srcId="{E37B5E00-324A-4165-A41A-7AC4E17B83E2}" destId="{BC0E737D-8CBF-4C64-89D3-4B47940E74DB}" srcOrd="6" destOrd="0" presId="urn:microsoft.com/office/officeart/2005/8/layout/hierarchy3"/>
    <dgm:cxn modelId="{1DE34CE8-DCF5-4A5C-B46B-B54B1775C174}" type="presParOf" srcId="{E37B5E00-324A-4165-A41A-7AC4E17B83E2}" destId="{983FEEB3-C3C1-4373-9CB6-6F10FB0E72BB}" srcOrd="7" destOrd="0" presId="urn:microsoft.com/office/officeart/2005/8/layout/hierarchy3"/>
    <dgm:cxn modelId="{EEF01479-CD61-4A5D-B5BA-63D78BC1D84A}" type="presParOf" srcId="{B3E43F19-77D7-4D4A-AC65-5B94834BDDE6}" destId="{551BC304-E451-4A9F-810F-45086970B870}" srcOrd="2" destOrd="0" presId="urn:microsoft.com/office/officeart/2005/8/layout/hierarchy3"/>
    <dgm:cxn modelId="{10FA41E8-8049-4B0F-99EB-4909BBFF1E28}" type="presParOf" srcId="{551BC304-E451-4A9F-810F-45086970B870}" destId="{E99533BF-41AC-4EE3-A064-6248BC138709}" srcOrd="0" destOrd="0" presId="urn:microsoft.com/office/officeart/2005/8/layout/hierarchy3"/>
    <dgm:cxn modelId="{7A120F22-5E34-4F06-AC41-E5DF4B8F7C2F}" type="presParOf" srcId="{E99533BF-41AC-4EE3-A064-6248BC138709}" destId="{AEE4C294-EA3D-434B-B157-525DAAAF9F69}" srcOrd="0" destOrd="0" presId="urn:microsoft.com/office/officeart/2005/8/layout/hierarchy3"/>
    <dgm:cxn modelId="{0BA36E23-32DC-49D1-90D9-F49A6BF3D7E6}" type="presParOf" srcId="{E99533BF-41AC-4EE3-A064-6248BC138709}" destId="{5F06E896-9474-439B-975C-52A84D803656}" srcOrd="1" destOrd="0" presId="urn:microsoft.com/office/officeart/2005/8/layout/hierarchy3"/>
    <dgm:cxn modelId="{33E39001-12F8-4CDA-869D-FB3DCC4E05F1}" type="presParOf" srcId="{551BC304-E451-4A9F-810F-45086970B870}" destId="{52FDBD45-C5A1-4444-8D6F-C61F2FBD19CC}" srcOrd="1" destOrd="0" presId="urn:microsoft.com/office/officeart/2005/8/layout/hierarchy3"/>
    <dgm:cxn modelId="{AC69F603-B1EB-4D32-951A-8F3A370E9F93}" type="presParOf" srcId="{52FDBD45-C5A1-4444-8D6F-C61F2FBD19CC}" destId="{64B72C5D-D8CD-473D-8D90-F4C8F6B09BD6}" srcOrd="0" destOrd="0" presId="urn:microsoft.com/office/officeart/2005/8/layout/hierarchy3"/>
    <dgm:cxn modelId="{E6C0BA63-D559-42E2-A94B-716B5A83B883}" type="presParOf" srcId="{52FDBD45-C5A1-4444-8D6F-C61F2FBD19CC}" destId="{309B8060-CFE1-443E-929A-6B77A643BE33}" srcOrd="1" destOrd="0" presId="urn:microsoft.com/office/officeart/2005/8/layout/hierarchy3"/>
    <dgm:cxn modelId="{7915CC60-7B2A-4980-A0A4-9DC2C98D3850}" type="presParOf" srcId="{52FDBD45-C5A1-4444-8D6F-C61F2FBD19CC}" destId="{337F3E1A-2CC1-413A-990E-13ADBFAF3041}" srcOrd="2" destOrd="0" presId="urn:microsoft.com/office/officeart/2005/8/layout/hierarchy3"/>
    <dgm:cxn modelId="{B49C0EEB-160E-4EBE-8F00-E84CE63E8954}" type="presParOf" srcId="{52FDBD45-C5A1-4444-8D6F-C61F2FBD19CC}" destId="{ED3B1982-909E-489E-8678-3F8849295932}" srcOrd="3" destOrd="0" presId="urn:microsoft.com/office/officeart/2005/8/layout/hierarchy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00C057-04D8-45D5-AD66-73DC535DE007}">
      <dsp:nvSpPr>
        <dsp:cNvPr id="0" name=""/>
        <dsp:cNvSpPr/>
      </dsp:nvSpPr>
      <dsp:spPr>
        <a:xfrm>
          <a:off x="545116" y="3399"/>
          <a:ext cx="1522975" cy="642992"/>
        </a:xfrm>
        <a:prstGeom prst="roundRect">
          <a:avLst>
            <a:gd name="adj" fmla="val 10000"/>
          </a:avLst>
        </a:prstGeom>
        <a:solidFill>
          <a:schemeClr val="accent5"/>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AU" sz="1200" b="1" kern="1200" dirty="0"/>
            <a:t>Human rights</a:t>
          </a:r>
        </a:p>
      </dsp:txBody>
      <dsp:txXfrm>
        <a:off x="563949" y="22232"/>
        <a:ext cx="1485309" cy="605326"/>
      </dsp:txXfrm>
    </dsp:sp>
    <dsp:sp modelId="{E2276BD3-03A8-46E4-913C-A8E09B6C62D4}">
      <dsp:nvSpPr>
        <dsp:cNvPr id="0" name=""/>
        <dsp:cNvSpPr/>
      </dsp:nvSpPr>
      <dsp:spPr>
        <a:xfrm>
          <a:off x="697413" y="646391"/>
          <a:ext cx="152297" cy="460543"/>
        </a:xfrm>
        <a:custGeom>
          <a:avLst/>
          <a:gdLst/>
          <a:ahLst/>
          <a:cxnLst/>
          <a:rect l="0" t="0" r="0" b="0"/>
          <a:pathLst>
            <a:path>
              <a:moveTo>
                <a:pt x="0" y="0"/>
              </a:moveTo>
              <a:lnTo>
                <a:pt x="0" y="460543"/>
              </a:lnTo>
              <a:lnTo>
                <a:pt x="152297" y="460543"/>
              </a:lnTo>
            </a:path>
          </a:pathLst>
        </a:custGeom>
        <a:noFill/>
        <a:ln w="1905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FF7F4A-EB1D-4E19-8465-373BB734FACF}">
      <dsp:nvSpPr>
        <dsp:cNvPr id="0" name=""/>
        <dsp:cNvSpPr/>
      </dsp:nvSpPr>
      <dsp:spPr>
        <a:xfrm>
          <a:off x="849711" y="758002"/>
          <a:ext cx="1203108" cy="697865"/>
        </a:xfrm>
        <a:prstGeom prst="roundRect">
          <a:avLst>
            <a:gd name="adj" fmla="val 10000"/>
          </a:avLst>
        </a:prstGeom>
        <a:solidFill>
          <a:schemeClr val="accent5">
            <a:lumMod val="40000"/>
            <a:lumOff val="60000"/>
            <a:alpha val="50000"/>
          </a:schemeClr>
        </a:solidFill>
        <a:ln w="1905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dirty="0"/>
            <a:t>Embedding human rights in aged care</a:t>
          </a:r>
        </a:p>
      </dsp:txBody>
      <dsp:txXfrm>
        <a:off x="870151" y="778442"/>
        <a:ext cx="1162228" cy="656985"/>
      </dsp:txXfrm>
    </dsp:sp>
    <dsp:sp modelId="{BFECA7FB-BF0A-4D68-A2A5-5D0ED04D317F}">
      <dsp:nvSpPr>
        <dsp:cNvPr id="0" name=""/>
        <dsp:cNvSpPr/>
      </dsp:nvSpPr>
      <dsp:spPr>
        <a:xfrm>
          <a:off x="697413" y="646391"/>
          <a:ext cx="152297" cy="1282246"/>
        </a:xfrm>
        <a:custGeom>
          <a:avLst/>
          <a:gdLst/>
          <a:ahLst/>
          <a:cxnLst/>
          <a:rect l="0" t="0" r="0" b="0"/>
          <a:pathLst>
            <a:path>
              <a:moveTo>
                <a:pt x="0" y="0"/>
              </a:moveTo>
              <a:lnTo>
                <a:pt x="0" y="1282246"/>
              </a:lnTo>
              <a:lnTo>
                <a:pt x="152297" y="1282246"/>
              </a:lnTo>
            </a:path>
          </a:pathLst>
        </a:custGeom>
        <a:noFill/>
        <a:ln w="1905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8D09D7-AC22-4A4E-B8B1-FE4FBA3F58D4}">
      <dsp:nvSpPr>
        <dsp:cNvPr id="0" name=""/>
        <dsp:cNvSpPr/>
      </dsp:nvSpPr>
      <dsp:spPr>
        <a:xfrm>
          <a:off x="849711" y="1567477"/>
          <a:ext cx="1223951" cy="722321"/>
        </a:xfrm>
        <a:prstGeom prst="roundRect">
          <a:avLst>
            <a:gd name="adj" fmla="val 10000"/>
          </a:avLst>
        </a:prstGeom>
        <a:solidFill>
          <a:schemeClr val="accent4">
            <a:lumMod val="60000"/>
            <a:lumOff val="40000"/>
            <a:alpha val="90000"/>
          </a:schemeClr>
        </a:solidFill>
        <a:ln w="349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dirty="0"/>
            <a:t>How can the full definition of high quality care be achieved? How is it done elsewhere?</a:t>
          </a:r>
        </a:p>
      </dsp:txBody>
      <dsp:txXfrm>
        <a:off x="870867" y="1588633"/>
        <a:ext cx="1181639" cy="680009"/>
      </dsp:txXfrm>
    </dsp:sp>
    <dsp:sp modelId="{A5BCA266-AD38-41C3-BFF5-22475EED3BA3}">
      <dsp:nvSpPr>
        <dsp:cNvPr id="0" name=""/>
        <dsp:cNvSpPr/>
      </dsp:nvSpPr>
      <dsp:spPr>
        <a:xfrm>
          <a:off x="697413" y="646391"/>
          <a:ext cx="152297" cy="2099439"/>
        </a:xfrm>
        <a:custGeom>
          <a:avLst/>
          <a:gdLst/>
          <a:ahLst/>
          <a:cxnLst/>
          <a:rect l="0" t="0" r="0" b="0"/>
          <a:pathLst>
            <a:path>
              <a:moveTo>
                <a:pt x="0" y="0"/>
              </a:moveTo>
              <a:lnTo>
                <a:pt x="0" y="2099439"/>
              </a:lnTo>
              <a:lnTo>
                <a:pt x="152297" y="2099439"/>
              </a:lnTo>
            </a:path>
          </a:pathLst>
        </a:custGeom>
        <a:noFill/>
        <a:ln w="1905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263DA8-A3EB-43C0-97DF-5E8BD0F4811D}">
      <dsp:nvSpPr>
        <dsp:cNvPr id="0" name=""/>
        <dsp:cNvSpPr/>
      </dsp:nvSpPr>
      <dsp:spPr>
        <a:xfrm>
          <a:off x="849711" y="2401409"/>
          <a:ext cx="1266245" cy="688842"/>
        </a:xfrm>
        <a:prstGeom prst="roundRect">
          <a:avLst>
            <a:gd name="adj" fmla="val 10000"/>
          </a:avLst>
        </a:prstGeom>
        <a:solidFill>
          <a:schemeClr val="accent4">
            <a:lumMod val="60000"/>
            <a:lumOff val="40000"/>
            <a:alpha val="90000"/>
          </a:schemeClr>
        </a:solidFill>
        <a:ln w="349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AU" sz="1000" kern="1200" dirty="0"/>
            <a:t>Restrictive Practices; what is needed for true reduction and elimination?</a:t>
          </a:r>
        </a:p>
      </dsp:txBody>
      <dsp:txXfrm>
        <a:off x="869886" y="2421584"/>
        <a:ext cx="1225895" cy="648492"/>
      </dsp:txXfrm>
    </dsp:sp>
    <dsp:sp modelId="{82D6C246-73CC-4266-B7CF-2FD535CD8A25}">
      <dsp:nvSpPr>
        <dsp:cNvPr id="0" name=""/>
        <dsp:cNvSpPr/>
      </dsp:nvSpPr>
      <dsp:spPr>
        <a:xfrm>
          <a:off x="697413" y="646391"/>
          <a:ext cx="160019" cy="2879014"/>
        </a:xfrm>
        <a:custGeom>
          <a:avLst/>
          <a:gdLst/>
          <a:ahLst/>
          <a:cxnLst/>
          <a:rect l="0" t="0" r="0" b="0"/>
          <a:pathLst>
            <a:path>
              <a:moveTo>
                <a:pt x="0" y="0"/>
              </a:moveTo>
              <a:lnTo>
                <a:pt x="0" y="2879014"/>
              </a:lnTo>
              <a:lnTo>
                <a:pt x="160019" y="2879014"/>
              </a:lnTo>
            </a:path>
          </a:pathLst>
        </a:custGeom>
        <a:noFill/>
        <a:ln w="1905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9FAE1D-8644-4642-8BC1-1B293BBF97A6}">
      <dsp:nvSpPr>
        <dsp:cNvPr id="0" name=""/>
        <dsp:cNvSpPr/>
      </dsp:nvSpPr>
      <dsp:spPr>
        <a:xfrm>
          <a:off x="857433" y="3163254"/>
          <a:ext cx="1232287" cy="724303"/>
        </a:xfrm>
        <a:prstGeom prst="roundRect">
          <a:avLst>
            <a:gd name="adj" fmla="val 10000"/>
          </a:avLst>
        </a:prstGeom>
        <a:solidFill>
          <a:schemeClr val="accent5">
            <a:lumMod val="40000"/>
            <a:lumOff val="60000"/>
            <a:alpha val="49000"/>
          </a:schemeClr>
        </a:solidFill>
        <a:ln w="1905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AU" sz="1000" kern="1200" dirty="0"/>
            <a:t>What does healing-aware, trauma-informed aged care actually look like?</a:t>
          </a:r>
        </a:p>
      </dsp:txBody>
      <dsp:txXfrm>
        <a:off x="878647" y="3184468"/>
        <a:ext cx="1189859" cy="681875"/>
      </dsp:txXfrm>
    </dsp:sp>
    <dsp:sp modelId="{68046052-F643-473D-B118-3DA84A9AA7CA}">
      <dsp:nvSpPr>
        <dsp:cNvPr id="0" name=""/>
        <dsp:cNvSpPr/>
      </dsp:nvSpPr>
      <dsp:spPr>
        <a:xfrm>
          <a:off x="2291312" y="2515"/>
          <a:ext cx="1522975" cy="642992"/>
        </a:xfrm>
        <a:prstGeom prst="roundRect">
          <a:avLst>
            <a:gd name="adj" fmla="val 10000"/>
          </a:avLst>
        </a:prstGeom>
        <a:solidFill>
          <a:schemeClr val="accent6">
            <a:lumMod val="75000"/>
          </a:schemeClr>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AU" sz="1200" b="1" kern="1200" dirty="0"/>
            <a:t>An equitable, sustainable aged care system</a:t>
          </a:r>
        </a:p>
      </dsp:txBody>
      <dsp:txXfrm>
        <a:off x="2310145" y="21348"/>
        <a:ext cx="1485309" cy="605326"/>
      </dsp:txXfrm>
    </dsp:sp>
    <dsp:sp modelId="{A46F919B-2BD2-4958-ACAA-7ED1EDED5801}">
      <dsp:nvSpPr>
        <dsp:cNvPr id="0" name=""/>
        <dsp:cNvSpPr/>
      </dsp:nvSpPr>
      <dsp:spPr>
        <a:xfrm>
          <a:off x="2443609" y="645507"/>
          <a:ext cx="152297" cy="418559"/>
        </a:xfrm>
        <a:custGeom>
          <a:avLst/>
          <a:gdLst/>
          <a:ahLst/>
          <a:cxnLst/>
          <a:rect l="0" t="0" r="0" b="0"/>
          <a:pathLst>
            <a:path>
              <a:moveTo>
                <a:pt x="0" y="0"/>
              </a:moveTo>
              <a:lnTo>
                <a:pt x="0" y="418559"/>
              </a:lnTo>
              <a:lnTo>
                <a:pt x="152297" y="418559"/>
              </a:lnTo>
            </a:path>
          </a:pathLst>
        </a:custGeom>
        <a:noFill/>
        <a:ln w="1905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E78664-4922-4CE3-98B6-EA01F53DEEB3}">
      <dsp:nvSpPr>
        <dsp:cNvPr id="0" name=""/>
        <dsp:cNvSpPr/>
      </dsp:nvSpPr>
      <dsp:spPr>
        <a:xfrm>
          <a:off x="2595907" y="758002"/>
          <a:ext cx="1358555" cy="612130"/>
        </a:xfrm>
        <a:prstGeom prst="roundRect">
          <a:avLst>
            <a:gd name="adj" fmla="val 10000"/>
          </a:avLst>
        </a:prstGeom>
        <a:solidFill>
          <a:schemeClr val="accent6">
            <a:lumMod val="60000"/>
            <a:lumOff val="40000"/>
            <a:alpha val="49000"/>
          </a:schemeClr>
        </a:solidFill>
        <a:ln w="1905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AU" sz="1000" kern="1200" dirty="0"/>
            <a:t>Co-payments – are they breaching rights and actually costing the system more?</a:t>
          </a:r>
        </a:p>
      </dsp:txBody>
      <dsp:txXfrm>
        <a:off x="2613836" y="775931"/>
        <a:ext cx="1322697" cy="576272"/>
      </dsp:txXfrm>
    </dsp:sp>
    <dsp:sp modelId="{1F7013E1-A676-436D-8941-069DE49E4104}">
      <dsp:nvSpPr>
        <dsp:cNvPr id="0" name=""/>
        <dsp:cNvSpPr/>
      </dsp:nvSpPr>
      <dsp:spPr>
        <a:xfrm>
          <a:off x="2443609" y="645507"/>
          <a:ext cx="152297" cy="1301526"/>
        </a:xfrm>
        <a:custGeom>
          <a:avLst/>
          <a:gdLst/>
          <a:ahLst/>
          <a:cxnLst/>
          <a:rect l="0" t="0" r="0" b="0"/>
          <a:pathLst>
            <a:path>
              <a:moveTo>
                <a:pt x="0" y="0"/>
              </a:moveTo>
              <a:lnTo>
                <a:pt x="0" y="1301526"/>
              </a:lnTo>
              <a:lnTo>
                <a:pt x="152297" y="1301526"/>
              </a:lnTo>
            </a:path>
          </a:pathLst>
        </a:custGeom>
        <a:noFill/>
        <a:ln w="1905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C18F1C-F483-4A32-A169-AB80DFA5A3F4}">
      <dsp:nvSpPr>
        <dsp:cNvPr id="0" name=""/>
        <dsp:cNvSpPr/>
      </dsp:nvSpPr>
      <dsp:spPr>
        <a:xfrm>
          <a:off x="2595907" y="1481743"/>
          <a:ext cx="1450715" cy="930581"/>
        </a:xfrm>
        <a:prstGeom prst="roundRect">
          <a:avLst>
            <a:gd name="adj" fmla="val 10000"/>
          </a:avLst>
        </a:prstGeom>
        <a:solidFill>
          <a:schemeClr val="accent4">
            <a:lumMod val="60000"/>
            <a:lumOff val="40000"/>
            <a:alpha val="90000"/>
          </a:schemeClr>
        </a:solidFill>
        <a:ln w="349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AU" sz="1000" kern="1200" dirty="0"/>
            <a:t>A preventative approach to needing acute aged care (A public health/economy wide approach to aged care)</a:t>
          </a:r>
        </a:p>
      </dsp:txBody>
      <dsp:txXfrm>
        <a:off x="2623163" y="1508999"/>
        <a:ext cx="1396203" cy="876069"/>
      </dsp:txXfrm>
    </dsp:sp>
    <dsp:sp modelId="{33C42541-E5E6-41E9-85B5-F4DC4FA98112}">
      <dsp:nvSpPr>
        <dsp:cNvPr id="0" name=""/>
        <dsp:cNvSpPr/>
      </dsp:nvSpPr>
      <dsp:spPr>
        <a:xfrm>
          <a:off x="2443609" y="645507"/>
          <a:ext cx="170162" cy="2318110"/>
        </a:xfrm>
        <a:custGeom>
          <a:avLst/>
          <a:gdLst/>
          <a:ahLst/>
          <a:cxnLst/>
          <a:rect l="0" t="0" r="0" b="0"/>
          <a:pathLst>
            <a:path>
              <a:moveTo>
                <a:pt x="0" y="0"/>
              </a:moveTo>
              <a:lnTo>
                <a:pt x="0" y="2318110"/>
              </a:lnTo>
              <a:lnTo>
                <a:pt x="170162" y="2318110"/>
              </a:lnTo>
            </a:path>
          </a:pathLst>
        </a:custGeom>
        <a:noFill/>
        <a:ln w="1905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644D5D-78A8-4421-BF22-8E7315ED1F1F}">
      <dsp:nvSpPr>
        <dsp:cNvPr id="0" name=""/>
        <dsp:cNvSpPr/>
      </dsp:nvSpPr>
      <dsp:spPr>
        <a:xfrm>
          <a:off x="2613772" y="2535846"/>
          <a:ext cx="1507517" cy="855543"/>
        </a:xfrm>
        <a:prstGeom prst="roundRect">
          <a:avLst>
            <a:gd name="adj" fmla="val 10000"/>
          </a:avLst>
        </a:prstGeom>
        <a:solidFill>
          <a:schemeClr val="accent4">
            <a:lumMod val="60000"/>
            <a:lumOff val="40000"/>
            <a:alpha val="90000"/>
          </a:schemeClr>
        </a:solidFill>
        <a:ln w="349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AU" sz="1000" kern="1200" dirty="0"/>
            <a:t>An approach to co-designing Aboriginal and Torres Strait Islander aged care (co-led with the First Nations Aged Care Commissioner </a:t>
          </a:r>
          <a:r>
            <a:rPr lang="en-AU" sz="1100" kern="1200" dirty="0"/>
            <a:t>)</a:t>
          </a:r>
        </a:p>
      </dsp:txBody>
      <dsp:txXfrm>
        <a:off x="2638830" y="2560904"/>
        <a:ext cx="1457401" cy="805427"/>
      </dsp:txXfrm>
    </dsp:sp>
    <dsp:sp modelId="{BC0E737D-8CBF-4C64-89D3-4B47940E74DB}">
      <dsp:nvSpPr>
        <dsp:cNvPr id="0" name=""/>
        <dsp:cNvSpPr/>
      </dsp:nvSpPr>
      <dsp:spPr>
        <a:xfrm>
          <a:off x="2443609" y="645507"/>
          <a:ext cx="152297" cy="3139537"/>
        </a:xfrm>
        <a:custGeom>
          <a:avLst/>
          <a:gdLst/>
          <a:ahLst/>
          <a:cxnLst/>
          <a:rect l="0" t="0" r="0" b="0"/>
          <a:pathLst>
            <a:path>
              <a:moveTo>
                <a:pt x="0" y="0"/>
              </a:moveTo>
              <a:lnTo>
                <a:pt x="0" y="3139537"/>
              </a:lnTo>
              <a:lnTo>
                <a:pt x="152297" y="3139537"/>
              </a:lnTo>
            </a:path>
          </a:pathLst>
        </a:custGeom>
        <a:noFill/>
        <a:ln w="1905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3FEEB3-C3C1-4373-9CB6-6F10FB0E72BB}">
      <dsp:nvSpPr>
        <dsp:cNvPr id="0" name=""/>
        <dsp:cNvSpPr/>
      </dsp:nvSpPr>
      <dsp:spPr>
        <a:xfrm>
          <a:off x="2595907" y="3491090"/>
          <a:ext cx="1470616" cy="587910"/>
        </a:xfrm>
        <a:prstGeom prst="roundRect">
          <a:avLst>
            <a:gd name="adj" fmla="val 10000"/>
          </a:avLst>
        </a:prstGeom>
        <a:solidFill>
          <a:schemeClr val="accent6">
            <a:lumMod val="60000"/>
            <a:lumOff val="40000"/>
            <a:alpha val="49000"/>
          </a:schemeClr>
        </a:solidFill>
        <a:ln w="1905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AU" sz="1000" kern="1200" dirty="0"/>
            <a:t>The interface between NDIS and aged care</a:t>
          </a:r>
        </a:p>
      </dsp:txBody>
      <dsp:txXfrm>
        <a:off x="2613126" y="3508309"/>
        <a:ext cx="1436178" cy="553472"/>
      </dsp:txXfrm>
    </dsp:sp>
    <dsp:sp modelId="{AEE4C294-EA3D-434B-B157-525DAAAF9F69}">
      <dsp:nvSpPr>
        <dsp:cNvPr id="0" name=""/>
        <dsp:cNvSpPr/>
      </dsp:nvSpPr>
      <dsp:spPr>
        <a:xfrm>
          <a:off x="4037508" y="3399"/>
          <a:ext cx="1522975" cy="642992"/>
        </a:xfrm>
        <a:prstGeom prst="roundRect">
          <a:avLst>
            <a:gd name="adj" fmla="val 10000"/>
          </a:avLst>
        </a:prstGeom>
        <a:solidFill>
          <a:schemeClr val="tx1">
            <a:lumMod val="65000"/>
            <a:lumOff val="35000"/>
          </a:schemeClr>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AU" sz="1200" b="1" kern="1200" dirty="0"/>
            <a:t>Reliable safeguarding and oversight of the system</a:t>
          </a:r>
        </a:p>
      </dsp:txBody>
      <dsp:txXfrm>
        <a:off x="4056341" y="22232"/>
        <a:ext cx="1485309" cy="605326"/>
      </dsp:txXfrm>
    </dsp:sp>
    <dsp:sp modelId="{64B72C5D-D8CD-473D-8D90-F4C8F6B09BD6}">
      <dsp:nvSpPr>
        <dsp:cNvPr id="0" name=""/>
        <dsp:cNvSpPr/>
      </dsp:nvSpPr>
      <dsp:spPr>
        <a:xfrm>
          <a:off x="4189806" y="646391"/>
          <a:ext cx="152297" cy="547190"/>
        </a:xfrm>
        <a:custGeom>
          <a:avLst/>
          <a:gdLst/>
          <a:ahLst/>
          <a:cxnLst/>
          <a:rect l="0" t="0" r="0" b="0"/>
          <a:pathLst>
            <a:path>
              <a:moveTo>
                <a:pt x="0" y="0"/>
              </a:moveTo>
              <a:lnTo>
                <a:pt x="0" y="547190"/>
              </a:lnTo>
              <a:lnTo>
                <a:pt x="152297" y="547190"/>
              </a:lnTo>
            </a:path>
          </a:pathLst>
        </a:custGeom>
        <a:noFill/>
        <a:ln w="1905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9B8060-CFE1-443E-929A-6B77A643BE33}">
      <dsp:nvSpPr>
        <dsp:cNvPr id="0" name=""/>
        <dsp:cNvSpPr/>
      </dsp:nvSpPr>
      <dsp:spPr>
        <a:xfrm>
          <a:off x="4342103" y="758002"/>
          <a:ext cx="1185421" cy="871160"/>
        </a:xfrm>
        <a:prstGeom prst="roundRect">
          <a:avLst>
            <a:gd name="adj" fmla="val 10000"/>
          </a:avLst>
        </a:prstGeom>
        <a:solidFill>
          <a:schemeClr val="accent4">
            <a:lumMod val="60000"/>
            <a:lumOff val="40000"/>
            <a:alpha val="90000"/>
          </a:schemeClr>
        </a:solidFill>
        <a:ln w="349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Font typeface="Arial" panose="020B0604020202020204" pitchFamily="34" charset="0"/>
            <a:buNone/>
          </a:pPr>
          <a:r>
            <a:rPr lang="en-AU" sz="1000" kern="1200" dirty="0"/>
            <a:t>What does a human rights focussed, person-centred complaints system look like</a:t>
          </a:r>
        </a:p>
      </dsp:txBody>
      <dsp:txXfrm>
        <a:off x="4367618" y="783517"/>
        <a:ext cx="1134391" cy="820130"/>
      </dsp:txXfrm>
    </dsp:sp>
    <dsp:sp modelId="{337F3E1A-2CC1-413A-990E-13ADBFAF3041}">
      <dsp:nvSpPr>
        <dsp:cNvPr id="0" name=""/>
        <dsp:cNvSpPr/>
      </dsp:nvSpPr>
      <dsp:spPr>
        <a:xfrm>
          <a:off x="4189806" y="646391"/>
          <a:ext cx="141254" cy="1910785"/>
        </a:xfrm>
        <a:custGeom>
          <a:avLst/>
          <a:gdLst/>
          <a:ahLst/>
          <a:cxnLst/>
          <a:rect l="0" t="0" r="0" b="0"/>
          <a:pathLst>
            <a:path>
              <a:moveTo>
                <a:pt x="0" y="0"/>
              </a:moveTo>
              <a:lnTo>
                <a:pt x="0" y="1910785"/>
              </a:lnTo>
              <a:lnTo>
                <a:pt x="141254" y="1910785"/>
              </a:lnTo>
            </a:path>
          </a:pathLst>
        </a:custGeom>
        <a:noFill/>
        <a:ln w="1905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3B1982-909E-489E-8678-3F8849295932}">
      <dsp:nvSpPr>
        <dsp:cNvPr id="0" name=""/>
        <dsp:cNvSpPr/>
      </dsp:nvSpPr>
      <dsp:spPr>
        <a:xfrm>
          <a:off x="4331060" y="1934002"/>
          <a:ext cx="1185421" cy="1246350"/>
        </a:xfrm>
        <a:prstGeom prst="roundRect">
          <a:avLst>
            <a:gd name="adj" fmla="val 10000"/>
          </a:avLst>
        </a:prstGeom>
        <a:solidFill>
          <a:schemeClr val="bg1">
            <a:lumMod val="85000"/>
            <a:alpha val="90000"/>
          </a:schemeClr>
        </a:solidFill>
        <a:ln w="1905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dirty="0"/>
            <a:t>Objective oversight of providers; the merits of a community visitor program in aged care that are the eyes and ears of the system</a:t>
          </a:r>
        </a:p>
      </dsp:txBody>
      <dsp:txXfrm>
        <a:off x="4365780" y="1968722"/>
        <a:ext cx="1115981" cy="11769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C Theme">
  <a:themeElements>
    <a:clrScheme name="Aged Care">
      <a:dk1>
        <a:srgbClr val="000000"/>
      </a:dk1>
      <a:lt1>
        <a:srgbClr val="FFFFFF"/>
      </a:lt1>
      <a:dk2>
        <a:srgbClr val="0E2841"/>
      </a:dk2>
      <a:lt2>
        <a:srgbClr val="E8E8E8"/>
      </a:lt2>
      <a:accent1>
        <a:srgbClr val="452669"/>
      </a:accent1>
      <a:accent2>
        <a:srgbClr val="59237B"/>
      </a:accent2>
      <a:accent3>
        <a:srgbClr val="C596C3"/>
      </a:accent3>
      <a:accent4>
        <a:srgbClr val="78226D"/>
      </a:accent4>
      <a:accent5>
        <a:srgbClr val="164E9A"/>
      </a:accent5>
      <a:accent6>
        <a:srgbClr val="D84931"/>
      </a:accent6>
      <a:hlink>
        <a:srgbClr val="78226D"/>
      </a:hlink>
      <a:folHlink>
        <a:srgbClr val="96607D"/>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AC Theme" id="{D9A8FE7B-DF1D-8548-9DD7-590C6DEC6117}" vid="{05AD54A0-E913-974D-8157-EDDDB6643C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9f84fab-5f23-4b99-abf1-f03f4c9ba893">XVW7QDSSWK5R-529741279-104055</_dlc_DocId>
    <lcf76f155ced4ddcb4097134ff3c332f xmlns="d822a8a9-e11f-4b08-bce4-8fd88c7b649b">
      <Terms xmlns="http://schemas.microsoft.com/office/infopath/2007/PartnerControls"/>
    </lcf76f155ced4ddcb4097134ff3c332f>
    <TaxCatchAll xmlns="d9f84fab-5f23-4b99-abf1-f03f4c9ba893" xsi:nil="true"/>
    <_dlc_DocIdUrl xmlns="d9f84fab-5f23-4b99-abf1-f03f4c9ba893">
      <Url>https://contentgroup2601.sharepoint.com/sites/contentgroup2/_layouts/15/DocIdRedir.aspx?ID=XVW7QDSSWK5R-529741279-104055</Url>
      <Description>XVW7QDSSWK5R-529741279-104055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70D952551AE4845BAC350281169CAF5" ma:contentTypeVersion="15" ma:contentTypeDescription="Create a new document." ma:contentTypeScope="" ma:versionID="19e719f8c6e39d94346f65b7e9a02d99">
  <xsd:schema xmlns:xsd="http://www.w3.org/2001/XMLSchema" xmlns:xs="http://www.w3.org/2001/XMLSchema" xmlns:p="http://schemas.microsoft.com/office/2006/metadata/properties" xmlns:ns2="d9f84fab-5f23-4b99-abf1-f03f4c9ba893" xmlns:ns3="d822a8a9-e11f-4b08-bce4-8fd88c7b649b" targetNamespace="http://schemas.microsoft.com/office/2006/metadata/properties" ma:root="true" ma:fieldsID="fcd593197f95311e3bf88e0b14c8e9fd" ns2:_="" ns3:_="">
    <xsd:import namespace="d9f84fab-5f23-4b99-abf1-f03f4c9ba893"/>
    <xsd:import namespace="d822a8a9-e11f-4b08-bce4-8fd88c7b649b"/>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4fab-5f23-4b99-abf1-f03f4c9ba8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1c2ef68a-51e0-494c-9506-22b0a0c583da}" ma:internalName="TaxCatchAll" ma:showField="CatchAllData" ma:web="d9f84fab-5f23-4b99-abf1-f03f4c9ba89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2a8a9-e11f-4b08-bce4-8fd88c7b649b"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ef32e99-9b2c-488b-bdd0-3c625d3b2b8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639B-F000-45F6-A8EB-A8944E9E5C42}">
  <ds:schemaRefs>
    <ds:schemaRef ds:uri="http://schemas.microsoft.com/office/2006/metadata/properties"/>
    <ds:schemaRef ds:uri="http://schemas.microsoft.com/office/infopath/2007/PartnerControls"/>
    <ds:schemaRef ds:uri="d9f84fab-5f23-4b99-abf1-f03f4c9ba893"/>
    <ds:schemaRef ds:uri="d822a8a9-e11f-4b08-bce4-8fd88c7b649b"/>
  </ds:schemaRefs>
</ds:datastoreItem>
</file>

<file path=customXml/itemProps2.xml><?xml version="1.0" encoding="utf-8"?>
<ds:datastoreItem xmlns:ds="http://schemas.openxmlformats.org/officeDocument/2006/customXml" ds:itemID="{0DE61BB9-05DB-44E6-952A-0734BF321B11}">
  <ds:schemaRefs>
    <ds:schemaRef ds:uri="http://schemas.microsoft.com/sharepoint/events"/>
  </ds:schemaRefs>
</ds:datastoreItem>
</file>

<file path=customXml/itemProps3.xml><?xml version="1.0" encoding="utf-8"?>
<ds:datastoreItem xmlns:ds="http://schemas.openxmlformats.org/officeDocument/2006/customXml" ds:itemID="{8AA87868-6BCB-4DF0-B7FE-B1D63982C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4fab-5f23-4b99-abf1-f03f4c9ba893"/>
    <ds:schemaRef ds:uri="d822a8a9-e11f-4b08-bce4-8fd88c7b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01A06-EA46-4168-BA74-3093850F66C0}">
  <ds:schemaRefs>
    <ds:schemaRef ds:uri="http://schemas.microsoft.com/sharepoint/v3/contenttype/forms"/>
  </ds:schemaRefs>
</ds:datastoreItem>
</file>

<file path=customXml/itemProps5.xml><?xml version="1.0" encoding="utf-8"?>
<ds:datastoreItem xmlns:ds="http://schemas.openxmlformats.org/officeDocument/2006/customXml" ds:itemID="{2DC9A331-634B-984D-A198-7B266D7C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4397</Words>
  <Characters>23657</Characters>
  <Application>Microsoft Office Word</Application>
  <DocSecurity>0</DocSecurity>
  <Lines>537</Lines>
  <Paragraphs>201</Paragraphs>
  <ScaleCrop>false</ScaleCrop>
  <HeadingPairs>
    <vt:vector size="2" baseType="variant">
      <vt:variant>
        <vt:lpstr>Title</vt:lpstr>
      </vt:variant>
      <vt:variant>
        <vt:i4>1</vt:i4>
      </vt:variant>
    </vt:vector>
  </HeadingPairs>
  <TitlesOfParts>
    <vt:vector size="1" baseType="lpstr">
      <vt:lpstr>Inspector General of Aged Care Annual Report 2025-26</vt:lpstr>
    </vt:vector>
  </TitlesOfParts>
  <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Inspector General of Aged Care Annual Report 2025-26</dc:title>
  <dc:subject/>
  <dc:creator>Australian Government Department of Health, Disability and Ageing</dc:creator>
  <cp:keywords>About Us</cp:keywords>
  <dc:description/>
  <cp:lastPrinted>2025-08-27T00:09:00Z</cp:lastPrinted>
  <dcterms:created xsi:type="dcterms:W3CDTF">2025-08-26T04:24:00Z</dcterms:created>
  <dcterms:modified xsi:type="dcterms:W3CDTF">2025-08-27T00:09:00Z</dcterms:modified>
</cp:coreProperties>
</file>