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D041F" w14:textId="6878E6B9" w:rsidR="006D1BBF" w:rsidRPr="006D1BBF" w:rsidRDefault="006D1BBF" w:rsidP="006D1BBF">
      <w:pPr>
        <w:pStyle w:val="Subtitle"/>
        <w:rPr>
          <w:rFonts w:eastAsiaTheme="majorEastAsia" w:cstheme="majorBidi"/>
          <w:b/>
          <w:bCs/>
          <w:sz w:val="28"/>
          <w:szCs w:val="28"/>
        </w:rPr>
      </w:pPr>
      <w:r w:rsidRPr="006D1BBF">
        <w:rPr>
          <w:rFonts w:eastAsiaTheme="majorEastAsia" w:cstheme="majorBidi"/>
          <w:b/>
          <w:bCs/>
          <w:sz w:val="28"/>
          <w:szCs w:val="28"/>
        </w:rPr>
        <w:t>Media Release</w:t>
      </w:r>
      <w:r w:rsidRPr="006D1BBF">
        <w:rPr>
          <w:rFonts w:eastAsiaTheme="majorEastAsia" w:cstheme="majorBidi"/>
          <w:b/>
          <w:bCs/>
          <w:sz w:val="28"/>
          <w:szCs w:val="28"/>
        </w:rPr>
        <w:tab/>
      </w:r>
      <w:r w:rsidRPr="006D1BBF">
        <w:rPr>
          <w:rFonts w:eastAsiaTheme="majorEastAsia" w:cstheme="majorBidi"/>
          <w:b/>
          <w:bCs/>
          <w:sz w:val="28"/>
          <w:szCs w:val="28"/>
        </w:rPr>
        <w:tab/>
      </w:r>
      <w:r w:rsidRPr="006D1BBF">
        <w:rPr>
          <w:rFonts w:eastAsiaTheme="majorEastAsia" w:cstheme="majorBidi"/>
          <w:b/>
          <w:bCs/>
          <w:sz w:val="28"/>
          <w:szCs w:val="28"/>
        </w:rPr>
        <w:tab/>
      </w:r>
      <w:r w:rsidRPr="006D1BBF">
        <w:rPr>
          <w:rFonts w:eastAsiaTheme="majorEastAsia" w:cstheme="majorBidi"/>
          <w:b/>
          <w:bCs/>
          <w:sz w:val="28"/>
          <w:szCs w:val="28"/>
        </w:rPr>
        <w:tab/>
      </w:r>
      <w:r w:rsidRPr="006D1BBF">
        <w:rPr>
          <w:rFonts w:eastAsiaTheme="majorEastAsia" w:cstheme="majorBidi"/>
          <w:b/>
          <w:bCs/>
          <w:sz w:val="28"/>
          <w:szCs w:val="28"/>
        </w:rPr>
        <w:tab/>
      </w:r>
      <w:r w:rsidRPr="006D1BBF">
        <w:rPr>
          <w:rFonts w:eastAsiaTheme="majorEastAsia" w:cstheme="majorBidi"/>
          <w:b/>
          <w:bCs/>
          <w:sz w:val="28"/>
          <w:szCs w:val="28"/>
        </w:rPr>
        <w:tab/>
      </w:r>
      <w:r w:rsidRPr="006D1BBF">
        <w:rPr>
          <w:rFonts w:eastAsiaTheme="majorEastAsia" w:cstheme="majorBidi"/>
          <w:b/>
          <w:bCs/>
          <w:sz w:val="28"/>
          <w:szCs w:val="28"/>
        </w:rPr>
        <w:tab/>
      </w:r>
      <w:r w:rsidR="009D517C">
        <w:rPr>
          <w:rFonts w:eastAsiaTheme="majorEastAsia" w:cstheme="majorBidi"/>
          <w:b/>
          <w:bCs/>
          <w:sz w:val="28"/>
          <w:szCs w:val="28"/>
        </w:rPr>
        <w:t>04</w:t>
      </w:r>
      <w:r w:rsidR="006371F3">
        <w:rPr>
          <w:rFonts w:eastAsiaTheme="majorEastAsia" w:cstheme="majorBidi"/>
          <w:b/>
          <w:bCs/>
          <w:sz w:val="28"/>
          <w:szCs w:val="28"/>
        </w:rPr>
        <w:t xml:space="preserve"> </w:t>
      </w:r>
      <w:r w:rsidR="006371F3" w:rsidRPr="009D517C">
        <w:rPr>
          <w:rFonts w:eastAsiaTheme="majorEastAsia" w:cstheme="majorBidi"/>
          <w:b/>
          <w:bCs/>
          <w:sz w:val="28"/>
          <w:szCs w:val="28"/>
        </w:rPr>
        <w:t>September</w:t>
      </w:r>
      <w:r w:rsidRPr="009D517C">
        <w:rPr>
          <w:rFonts w:eastAsiaTheme="majorEastAsia" w:cstheme="majorBidi"/>
          <w:b/>
          <w:bCs/>
          <w:sz w:val="28"/>
          <w:szCs w:val="28"/>
        </w:rPr>
        <w:t xml:space="preserve"> 2025</w:t>
      </w:r>
    </w:p>
    <w:p w14:paraId="3AE96249" w14:textId="5BB12DF1" w:rsidR="006D1BBF" w:rsidRPr="006D1BBF" w:rsidRDefault="006D1BBF" w:rsidP="2FE2D77E">
      <w:pPr>
        <w:pStyle w:val="Subtitle"/>
        <w:rPr>
          <w:rFonts w:eastAsiaTheme="majorEastAsia" w:cstheme="majorBidi"/>
          <w:b/>
          <w:color w:val="auto"/>
          <w:spacing w:val="0"/>
          <w:sz w:val="28"/>
          <w:szCs w:val="28"/>
        </w:rPr>
      </w:pPr>
      <w:r w:rsidRPr="006D1BBF">
        <w:rPr>
          <w:rFonts w:eastAsiaTheme="majorEastAsia" w:cstheme="majorBidi"/>
          <w:b/>
          <w:color w:val="auto"/>
          <w:spacing w:val="0"/>
          <w:sz w:val="28"/>
          <w:szCs w:val="28"/>
        </w:rPr>
        <w:t>More Action Needed to Deliver Transformational Aged Care Reform</w:t>
      </w:r>
    </w:p>
    <w:p w14:paraId="24A75CAA" w14:textId="645EE666" w:rsidR="006D1BBF" w:rsidRPr="00C22AFB" w:rsidRDefault="006D1BBF" w:rsidP="36B2C51D">
      <w:pPr>
        <w:rPr>
          <w:rFonts w:ascii="Calibri" w:hAnsi="Calibri" w:cs="Calibri"/>
        </w:rPr>
      </w:pPr>
      <w:r w:rsidRPr="36B2C51D">
        <w:rPr>
          <w:rFonts w:ascii="Calibri" w:hAnsi="Calibri" w:cs="Calibri"/>
        </w:rPr>
        <w:t xml:space="preserve">The Inspector-General of Aged Care, Natalie Siegel-Brown, has called for stronger action to implement the recommendations of the Royal Commission into Aged Care Quality and Safety, warning that Australia is not yet on track to deliver the transformation </w:t>
      </w:r>
      <w:r w:rsidR="7F118FD2" w:rsidRPr="36B2C51D">
        <w:rPr>
          <w:rFonts w:ascii="Calibri" w:hAnsi="Calibri" w:cs="Calibri"/>
        </w:rPr>
        <w:t>required</w:t>
      </w:r>
      <w:r w:rsidR="003022B1" w:rsidRPr="36B2C51D">
        <w:rPr>
          <w:rFonts w:ascii="Calibri" w:hAnsi="Calibri" w:cs="Calibri"/>
        </w:rPr>
        <w:t>.</w:t>
      </w:r>
    </w:p>
    <w:p w14:paraId="71145A3C" w14:textId="563EF40E" w:rsidR="00CF327C" w:rsidRDefault="000751CA" w:rsidP="006D1BBF">
      <w:pPr>
        <w:rPr>
          <w:rFonts w:ascii="Calibri" w:hAnsi="Calibri" w:cs="Calibri"/>
          <w:szCs w:val="22"/>
        </w:rPr>
      </w:pPr>
      <w:r>
        <w:rPr>
          <w:rFonts w:ascii="Calibri" w:hAnsi="Calibri" w:cs="Calibri"/>
          <w:szCs w:val="22"/>
        </w:rPr>
        <w:t>‘</w:t>
      </w:r>
      <w:r w:rsidR="003022B1">
        <w:rPr>
          <w:rFonts w:ascii="Calibri" w:hAnsi="Calibri" w:cs="Calibri"/>
          <w:szCs w:val="22"/>
        </w:rPr>
        <w:t>There has been furious activity to make p</w:t>
      </w:r>
      <w:r w:rsidR="006D1BBF" w:rsidRPr="00832DAD">
        <w:rPr>
          <w:rFonts w:ascii="Calibri" w:hAnsi="Calibri" w:cs="Calibri"/>
          <w:szCs w:val="22"/>
        </w:rPr>
        <w:t xml:space="preserve">rogress, </w:t>
      </w:r>
      <w:r w:rsidR="003022B1">
        <w:rPr>
          <w:rFonts w:ascii="Calibri" w:hAnsi="Calibri" w:cs="Calibri"/>
          <w:szCs w:val="22"/>
        </w:rPr>
        <w:t xml:space="preserve">but </w:t>
      </w:r>
      <w:r w:rsidR="006D1BBF" w:rsidRPr="00832DAD">
        <w:rPr>
          <w:rFonts w:ascii="Calibri" w:hAnsi="Calibri" w:cs="Calibri"/>
          <w:szCs w:val="22"/>
        </w:rPr>
        <w:t xml:space="preserve">reforms have largely addressed isolated issues rather than driving the systemic change required. </w:t>
      </w:r>
    </w:p>
    <w:p w14:paraId="4D69EEBE" w14:textId="473B0743" w:rsidR="00CF327C" w:rsidRDefault="00CF327C" w:rsidP="006D1BBF">
      <w:pPr>
        <w:rPr>
          <w:rFonts w:ascii="Calibri" w:hAnsi="Calibri" w:cs="Calibri"/>
          <w:szCs w:val="22"/>
        </w:rPr>
      </w:pPr>
      <w:r>
        <w:rPr>
          <w:rFonts w:ascii="Calibri" w:hAnsi="Calibri" w:cs="Calibri"/>
          <w:szCs w:val="22"/>
        </w:rPr>
        <w:t>There is no doubt that the new aged care l</w:t>
      </w:r>
      <w:r w:rsidR="00B041D0">
        <w:rPr>
          <w:rFonts w:ascii="Calibri" w:hAnsi="Calibri" w:cs="Calibri"/>
          <w:szCs w:val="22"/>
        </w:rPr>
        <w:t>aw</w:t>
      </w:r>
      <w:r>
        <w:rPr>
          <w:rFonts w:ascii="Calibri" w:hAnsi="Calibri" w:cs="Calibri"/>
          <w:szCs w:val="22"/>
        </w:rPr>
        <w:t xml:space="preserve"> </w:t>
      </w:r>
      <w:r w:rsidR="000D731A">
        <w:rPr>
          <w:rFonts w:ascii="Calibri" w:hAnsi="Calibri" w:cs="Calibri"/>
          <w:szCs w:val="22"/>
        </w:rPr>
        <w:t xml:space="preserve">largely </w:t>
      </w:r>
      <w:r>
        <w:rPr>
          <w:rFonts w:ascii="Calibri" w:hAnsi="Calibri" w:cs="Calibri"/>
          <w:szCs w:val="22"/>
        </w:rPr>
        <w:t>promises</w:t>
      </w:r>
      <w:r w:rsidR="000D731A">
        <w:rPr>
          <w:rFonts w:ascii="Calibri" w:hAnsi="Calibri" w:cs="Calibri"/>
          <w:szCs w:val="22"/>
        </w:rPr>
        <w:t xml:space="preserve"> </w:t>
      </w:r>
      <w:r>
        <w:rPr>
          <w:rFonts w:ascii="Calibri" w:hAnsi="Calibri" w:cs="Calibri"/>
          <w:szCs w:val="22"/>
        </w:rPr>
        <w:t>the Royal Commission</w:t>
      </w:r>
      <w:r w:rsidR="004605C1">
        <w:rPr>
          <w:rFonts w:ascii="Calibri" w:hAnsi="Calibri" w:cs="Calibri"/>
          <w:szCs w:val="22"/>
        </w:rPr>
        <w:t>’s vision</w:t>
      </w:r>
      <w:r>
        <w:rPr>
          <w:rFonts w:ascii="Calibri" w:hAnsi="Calibri" w:cs="Calibri"/>
          <w:szCs w:val="22"/>
        </w:rPr>
        <w:t>. But</w:t>
      </w:r>
      <w:r w:rsidR="000D731A">
        <w:rPr>
          <w:rFonts w:ascii="Calibri" w:hAnsi="Calibri" w:cs="Calibri"/>
          <w:szCs w:val="22"/>
        </w:rPr>
        <w:t xml:space="preserve"> the community is still waiting on</w:t>
      </w:r>
      <w:r>
        <w:rPr>
          <w:rFonts w:ascii="Calibri" w:hAnsi="Calibri" w:cs="Calibri"/>
          <w:szCs w:val="22"/>
        </w:rPr>
        <w:t xml:space="preserve"> the action</w:t>
      </w:r>
      <w:r w:rsidR="000D731A">
        <w:rPr>
          <w:rFonts w:ascii="Calibri" w:hAnsi="Calibri" w:cs="Calibri"/>
          <w:szCs w:val="22"/>
        </w:rPr>
        <w:t>s</w:t>
      </w:r>
      <w:r>
        <w:rPr>
          <w:rFonts w:ascii="Calibri" w:hAnsi="Calibri" w:cs="Calibri"/>
          <w:szCs w:val="22"/>
        </w:rPr>
        <w:t xml:space="preserve"> needed to make this more than just a vision.</w:t>
      </w:r>
    </w:p>
    <w:p w14:paraId="439AB734" w14:textId="30AAC3E6" w:rsidR="006D1BBF" w:rsidRPr="00832DAD" w:rsidRDefault="004605C1" w:rsidP="36B2C51D">
      <w:pPr>
        <w:rPr>
          <w:rFonts w:ascii="Calibri" w:hAnsi="Calibri" w:cs="Calibri"/>
        </w:rPr>
      </w:pPr>
      <w:r w:rsidRPr="36B2C51D">
        <w:rPr>
          <w:rFonts w:ascii="Calibri" w:hAnsi="Calibri" w:cs="Calibri"/>
        </w:rPr>
        <w:t>S</w:t>
      </w:r>
      <w:r w:rsidR="00CF327C" w:rsidRPr="36B2C51D">
        <w:rPr>
          <w:rFonts w:ascii="Calibri" w:hAnsi="Calibri" w:cs="Calibri"/>
        </w:rPr>
        <w:t>ome of th</w:t>
      </w:r>
      <w:r w:rsidR="000D731A" w:rsidRPr="36B2C51D">
        <w:rPr>
          <w:rFonts w:ascii="Calibri" w:hAnsi="Calibri" w:cs="Calibri"/>
        </w:rPr>
        <w:t>e reforms th</w:t>
      </w:r>
      <w:r w:rsidR="00CF327C" w:rsidRPr="36B2C51D">
        <w:rPr>
          <w:rFonts w:ascii="Calibri" w:hAnsi="Calibri" w:cs="Calibri"/>
        </w:rPr>
        <w:t>at have been implemented, may create unintended consequences</w:t>
      </w:r>
      <w:r w:rsidRPr="36B2C51D">
        <w:rPr>
          <w:rFonts w:ascii="Calibri" w:hAnsi="Calibri" w:cs="Calibri"/>
        </w:rPr>
        <w:t xml:space="preserve"> that could undermine the </w:t>
      </w:r>
      <w:r w:rsidR="5AC52A25" w:rsidRPr="36B2C51D">
        <w:rPr>
          <w:rFonts w:ascii="Calibri" w:hAnsi="Calibri" w:cs="Calibri"/>
        </w:rPr>
        <w:t>g</w:t>
      </w:r>
      <w:r w:rsidRPr="36B2C51D">
        <w:rPr>
          <w:rFonts w:ascii="Calibri" w:hAnsi="Calibri" w:cs="Calibri"/>
        </w:rPr>
        <w:t>overnment’s policy and legislative intent</w:t>
      </w:r>
      <w:r w:rsidR="000751CA" w:rsidRPr="36B2C51D">
        <w:rPr>
          <w:rFonts w:ascii="Calibri" w:hAnsi="Calibri" w:cs="Calibri"/>
        </w:rPr>
        <w:t xml:space="preserve">’ </w:t>
      </w:r>
      <w:r w:rsidR="006D1BBF" w:rsidRPr="36B2C51D">
        <w:rPr>
          <w:rFonts w:ascii="Calibri" w:hAnsi="Calibri" w:cs="Calibri"/>
        </w:rPr>
        <w:t>Ms Siegel-Brown said.</w:t>
      </w:r>
    </w:p>
    <w:p w14:paraId="217330BE" w14:textId="5BFE44BF" w:rsidR="006D1BBF" w:rsidRPr="00832DAD" w:rsidRDefault="006D1BBF" w:rsidP="36B2C51D">
      <w:pPr>
        <w:rPr>
          <w:rFonts w:ascii="Calibri" w:hAnsi="Calibri" w:cs="Calibri"/>
        </w:rPr>
      </w:pPr>
      <w:r w:rsidRPr="36B2C51D">
        <w:rPr>
          <w:rFonts w:ascii="Calibri" w:hAnsi="Calibri" w:cs="Calibri"/>
        </w:rPr>
        <w:t xml:space="preserve">The Inspector-General emphasised </w:t>
      </w:r>
      <w:r w:rsidR="004605C1" w:rsidRPr="36B2C51D">
        <w:rPr>
          <w:rFonts w:ascii="Calibri" w:hAnsi="Calibri" w:cs="Calibri"/>
        </w:rPr>
        <w:t xml:space="preserve">that she shares the </w:t>
      </w:r>
      <w:r w:rsidR="039495D5" w:rsidRPr="36B2C51D">
        <w:rPr>
          <w:rFonts w:ascii="Calibri" w:hAnsi="Calibri" w:cs="Calibri"/>
        </w:rPr>
        <w:t>g</w:t>
      </w:r>
      <w:r w:rsidR="004605C1" w:rsidRPr="36B2C51D">
        <w:rPr>
          <w:rFonts w:ascii="Calibri" w:hAnsi="Calibri" w:cs="Calibri"/>
        </w:rPr>
        <w:t>overnment’s vision</w:t>
      </w:r>
      <w:r w:rsidRPr="36B2C51D">
        <w:rPr>
          <w:rFonts w:ascii="Calibri" w:hAnsi="Calibri" w:cs="Calibri"/>
        </w:rPr>
        <w:t>: a future where older Australians do not merely exist in aged care, but live</w:t>
      </w:r>
      <w:r w:rsidR="008908AC" w:rsidRPr="36B2C51D">
        <w:rPr>
          <w:rFonts w:ascii="Calibri" w:hAnsi="Calibri" w:cs="Calibri"/>
        </w:rPr>
        <w:t xml:space="preserve"> – </w:t>
      </w:r>
      <w:r w:rsidRPr="36B2C51D">
        <w:rPr>
          <w:rFonts w:ascii="Calibri" w:hAnsi="Calibri" w:cs="Calibri"/>
        </w:rPr>
        <w:t>connected, valued, and supported.</w:t>
      </w:r>
      <w:r w:rsidR="000D731A" w:rsidRPr="36B2C51D">
        <w:rPr>
          <w:rFonts w:ascii="Calibri" w:hAnsi="Calibri" w:cs="Calibri"/>
        </w:rPr>
        <w:t xml:space="preserve"> </w:t>
      </w:r>
    </w:p>
    <w:p w14:paraId="3893A7EF" w14:textId="1BEBDAD1" w:rsidR="00ED16AC" w:rsidRDefault="000751CA" w:rsidP="006D1BBF">
      <w:r>
        <w:t>‘</w:t>
      </w:r>
      <w:r w:rsidR="000D731A">
        <w:t xml:space="preserve">I want to make sure the legacy promised </w:t>
      </w:r>
      <w:r w:rsidR="00BC57D2">
        <w:t>will be made</w:t>
      </w:r>
      <w:r w:rsidR="000D731A">
        <w:t xml:space="preserve"> real</w:t>
      </w:r>
      <w:r w:rsidR="003022B1">
        <w:t>, and I know the government does too</w:t>
      </w:r>
      <w:r w:rsidR="000D731A">
        <w:t xml:space="preserve">. </w:t>
      </w:r>
      <w:r w:rsidR="00361BE0">
        <w:t>The</w:t>
      </w:r>
      <w:r w:rsidR="006D1BBF" w:rsidRPr="006D1BBF">
        <w:t xml:space="preserve"> new </w:t>
      </w:r>
      <w:r w:rsidR="006D1BBF" w:rsidRPr="00832DAD">
        <w:rPr>
          <w:i/>
          <w:iCs/>
        </w:rPr>
        <w:t>Aged Care Act</w:t>
      </w:r>
      <w:r w:rsidR="00832DAD" w:rsidRPr="00832DAD">
        <w:rPr>
          <w:i/>
          <w:iCs/>
        </w:rPr>
        <w:t xml:space="preserve"> 2024</w:t>
      </w:r>
      <w:r w:rsidR="006D1BBF" w:rsidRPr="006D1BBF">
        <w:t xml:space="preserve"> represents a</w:t>
      </w:r>
      <w:r w:rsidR="000D731A">
        <w:t>n unprecedented</w:t>
      </w:r>
      <w:r w:rsidR="006D1BBF" w:rsidRPr="006D1BBF">
        <w:t xml:space="preserve"> commitment</w:t>
      </w:r>
      <w:r w:rsidR="000D731A">
        <w:t>.</w:t>
      </w:r>
      <w:r w:rsidR="006D1BBF" w:rsidRPr="006D1BBF">
        <w:t xml:space="preserve"> </w:t>
      </w:r>
      <w:proofErr w:type="gramStart"/>
      <w:r w:rsidR="000D731A">
        <w:t>N</w:t>
      </w:r>
      <w:r w:rsidR="00361BE0">
        <w:t>ever before</w:t>
      </w:r>
      <w:proofErr w:type="gramEnd"/>
      <w:r w:rsidR="00361BE0">
        <w:t xml:space="preserve"> has legislation entitled </w:t>
      </w:r>
      <w:r w:rsidR="000D731A">
        <w:t xml:space="preserve">older </w:t>
      </w:r>
      <w:r w:rsidR="00361BE0">
        <w:t xml:space="preserve">people to care that is </w:t>
      </w:r>
      <w:r w:rsidR="00361BE0" w:rsidRPr="00361BE0">
        <w:t>kind, compassion</w:t>
      </w:r>
      <w:r w:rsidR="00361BE0">
        <w:t>ate, centres</w:t>
      </w:r>
      <w:r w:rsidR="00361BE0" w:rsidRPr="00361BE0">
        <w:t xml:space="preserve"> respect for the</w:t>
      </w:r>
      <w:r w:rsidR="00361BE0">
        <w:t>ir</w:t>
      </w:r>
      <w:r w:rsidR="00361BE0" w:rsidRPr="00361BE0">
        <w:t xml:space="preserve"> life experiences, dignity, quality of life, mental health and wellbeing</w:t>
      </w:r>
      <w:r w:rsidR="00361BE0">
        <w:t>. But the re</w:t>
      </w:r>
      <w:r w:rsidR="000D731A">
        <w:t>form</w:t>
      </w:r>
      <w:r w:rsidR="002D3A57">
        <w:t xml:space="preserve"> </w:t>
      </w:r>
      <w:r w:rsidR="000D731A">
        <w:t>actions</w:t>
      </w:r>
      <w:r w:rsidR="00361BE0">
        <w:t xml:space="preserve"> the Royal Commission said were needed to bring this to life, are not yet there.</w:t>
      </w:r>
      <w:r w:rsidR="0045116E">
        <w:t xml:space="preserve"> </w:t>
      </w:r>
    </w:p>
    <w:p w14:paraId="2DFEEAB4" w14:textId="726D03F9" w:rsidR="00ED16AC" w:rsidRDefault="00ED16AC" w:rsidP="006D1BBF">
      <w:r>
        <w:t xml:space="preserve">Chiefly, questions </w:t>
      </w:r>
      <w:proofErr w:type="gramStart"/>
      <w:r>
        <w:t>still remain</w:t>
      </w:r>
      <w:proofErr w:type="gramEnd"/>
      <w:r>
        <w:t xml:space="preserve"> about how the human rights and high</w:t>
      </w:r>
      <w:r w:rsidR="00FF228B">
        <w:t>-</w:t>
      </w:r>
      <w:r>
        <w:t>quality care described by the Act, will truly be enforced.</w:t>
      </w:r>
    </w:p>
    <w:p w14:paraId="058B3BAA" w14:textId="2E5DFAB2" w:rsidR="00832DAD" w:rsidRDefault="00ED16AC" w:rsidP="006D1BBF">
      <w:pPr>
        <w:rPr>
          <w:rFonts w:ascii="Calibri" w:hAnsi="Calibri" w:cs="Calibri"/>
          <w:szCs w:val="22"/>
        </w:rPr>
      </w:pPr>
      <w:r>
        <w:t xml:space="preserve">And while reform action lacks in some areas, there are others where the action taken may bring about </w:t>
      </w:r>
      <w:r w:rsidR="0072711B">
        <w:t>unintended</w:t>
      </w:r>
      <w:r>
        <w:t xml:space="preserve"> </w:t>
      </w:r>
      <w:r w:rsidR="0072711B">
        <w:t>harm</w:t>
      </w:r>
      <w:r>
        <w:t xml:space="preserve">; </w:t>
      </w:r>
      <w:r>
        <w:rPr>
          <w:rFonts w:ascii="Calibri" w:hAnsi="Calibri" w:cs="Calibri"/>
          <w:szCs w:val="22"/>
        </w:rPr>
        <w:t>t</w:t>
      </w:r>
      <w:r w:rsidR="006D1BBF" w:rsidRPr="00C22AFB">
        <w:rPr>
          <w:rFonts w:ascii="Calibri" w:hAnsi="Calibri" w:cs="Calibri"/>
          <w:szCs w:val="22"/>
        </w:rPr>
        <w:t xml:space="preserve">he </w:t>
      </w:r>
      <w:r w:rsidR="000D731A">
        <w:rPr>
          <w:rFonts w:ascii="Calibri" w:hAnsi="Calibri" w:cs="Calibri"/>
          <w:szCs w:val="22"/>
        </w:rPr>
        <w:t xml:space="preserve">way </w:t>
      </w:r>
      <w:r w:rsidR="00754302">
        <w:rPr>
          <w:rFonts w:ascii="Calibri" w:hAnsi="Calibri" w:cs="Calibri"/>
          <w:szCs w:val="22"/>
        </w:rPr>
        <w:t>in</w:t>
      </w:r>
      <w:r w:rsidR="000D731A">
        <w:rPr>
          <w:rFonts w:ascii="Calibri" w:hAnsi="Calibri" w:cs="Calibri"/>
          <w:szCs w:val="22"/>
        </w:rPr>
        <w:t xml:space="preserve"> which </w:t>
      </w:r>
      <w:r w:rsidR="00754302" w:rsidRPr="00C22AFB">
        <w:rPr>
          <w:rFonts w:ascii="Calibri" w:hAnsi="Calibri" w:cs="Calibri"/>
          <w:szCs w:val="22"/>
        </w:rPr>
        <w:t>co-payments under the Support at Home program</w:t>
      </w:r>
      <w:r w:rsidR="00754302">
        <w:rPr>
          <w:rFonts w:ascii="Calibri" w:hAnsi="Calibri" w:cs="Calibri"/>
          <w:szCs w:val="22"/>
        </w:rPr>
        <w:t xml:space="preserve"> </w:t>
      </w:r>
      <w:r w:rsidR="000D731A">
        <w:rPr>
          <w:rFonts w:ascii="Calibri" w:hAnsi="Calibri" w:cs="Calibri"/>
          <w:szCs w:val="22"/>
        </w:rPr>
        <w:t>have been implemented</w:t>
      </w:r>
      <w:r w:rsidR="006D1BBF" w:rsidRPr="00C22AFB">
        <w:rPr>
          <w:rFonts w:ascii="Calibri" w:hAnsi="Calibri" w:cs="Calibri"/>
          <w:szCs w:val="22"/>
        </w:rPr>
        <w:t xml:space="preserve"> risk</w:t>
      </w:r>
      <w:r w:rsidR="000D731A">
        <w:rPr>
          <w:rFonts w:ascii="Calibri" w:hAnsi="Calibri" w:cs="Calibri"/>
          <w:szCs w:val="22"/>
        </w:rPr>
        <w:t>s</w:t>
      </w:r>
      <w:r w:rsidR="006D1BBF" w:rsidRPr="00C22AFB">
        <w:rPr>
          <w:rFonts w:ascii="Calibri" w:hAnsi="Calibri" w:cs="Calibri"/>
          <w:szCs w:val="22"/>
        </w:rPr>
        <w:t xml:space="preserve"> </w:t>
      </w:r>
      <w:r w:rsidR="00DC76A9">
        <w:rPr>
          <w:rFonts w:ascii="Calibri" w:hAnsi="Calibri" w:cs="Calibri"/>
          <w:szCs w:val="22"/>
        </w:rPr>
        <w:t xml:space="preserve">leading </w:t>
      </w:r>
      <w:r w:rsidR="0072711B">
        <w:rPr>
          <w:rFonts w:ascii="Calibri" w:hAnsi="Calibri" w:cs="Calibri"/>
          <w:szCs w:val="22"/>
        </w:rPr>
        <w:t>those</w:t>
      </w:r>
      <w:r w:rsidR="00CF327C">
        <w:rPr>
          <w:rFonts w:ascii="Calibri" w:hAnsi="Calibri" w:cs="Calibri"/>
          <w:szCs w:val="22"/>
        </w:rPr>
        <w:t xml:space="preserve"> most in need</w:t>
      </w:r>
      <w:r w:rsidR="00DC76A9">
        <w:rPr>
          <w:rFonts w:ascii="Calibri" w:hAnsi="Calibri" w:cs="Calibri"/>
          <w:szCs w:val="22"/>
        </w:rPr>
        <w:t xml:space="preserve"> </w:t>
      </w:r>
      <w:r w:rsidR="000D731A">
        <w:rPr>
          <w:rFonts w:ascii="Calibri" w:hAnsi="Calibri" w:cs="Calibri"/>
          <w:szCs w:val="22"/>
        </w:rPr>
        <w:t xml:space="preserve">to </w:t>
      </w:r>
      <w:r w:rsidR="00DC76A9">
        <w:rPr>
          <w:rFonts w:ascii="Calibri" w:hAnsi="Calibri" w:cs="Calibri"/>
          <w:szCs w:val="22"/>
        </w:rPr>
        <w:t>delaying or declining essential supports,</w:t>
      </w:r>
      <w:r>
        <w:rPr>
          <w:rFonts w:ascii="Calibri" w:hAnsi="Calibri" w:cs="Calibri"/>
          <w:szCs w:val="22"/>
        </w:rPr>
        <w:t xml:space="preserve"> or even being pushed into residential care</w:t>
      </w:r>
      <w:r w:rsidR="00735916">
        <w:rPr>
          <w:rFonts w:ascii="Calibri" w:hAnsi="Calibri" w:cs="Calibri"/>
          <w:szCs w:val="22"/>
        </w:rPr>
        <w:t>,</w:t>
      </w:r>
      <w:r w:rsidR="00712B81">
        <w:rPr>
          <w:rFonts w:ascii="Calibri" w:hAnsi="Calibri" w:cs="Calibri"/>
          <w:szCs w:val="22"/>
        </w:rPr>
        <w:t>’</w:t>
      </w:r>
      <w:r w:rsidR="00DC76A9">
        <w:rPr>
          <w:rFonts w:ascii="Calibri" w:hAnsi="Calibri" w:cs="Calibri"/>
          <w:szCs w:val="22"/>
        </w:rPr>
        <w:t xml:space="preserve"> said the Inspector-General</w:t>
      </w:r>
      <w:r w:rsidR="00780C47">
        <w:rPr>
          <w:rFonts w:ascii="Calibri" w:hAnsi="Calibri" w:cs="Calibri"/>
          <w:szCs w:val="22"/>
        </w:rPr>
        <w:t>.</w:t>
      </w:r>
    </w:p>
    <w:p w14:paraId="6363FD88" w14:textId="3036B5AD" w:rsidR="00832DAD" w:rsidRDefault="006D1BBF" w:rsidP="006D1BBF">
      <w:pPr>
        <w:rPr>
          <w:rFonts w:ascii="Calibri" w:hAnsi="Calibri" w:cs="Calibri"/>
          <w:szCs w:val="22"/>
        </w:rPr>
      </w:pPr>
      <w:r w:rsidRPr="00C22AFB">
        <w:rPr>
          <w:rFonts w:ascii="Calibri" w:hAnsi="Calibri" w:cs="Calibri"/>
          <w:szCs w:val="22"/>
        </w:rPr>
        <w:t xml:space="preserve">The move to </w:t>
      </w:r>
      <w:r w:rsidR="0062356C">
        <w:rPr>
          <w:rFonts w:ascii="Calibri" w:hAnsi="Calibri" w:cs="Calibri"/>
          <w:szCs w:val="22"/>
        </w:rPr>
        <w:t>‘</w:t>
      </w:r>
      <w:r w:rsidRPr="00C22AFB">
        <w:rPr>
          <w:rFonts w:ascii="Calibri" w:hAnsi="Calibri" w:cs="Calibri"/>
          <w:szCs w:val="22"/>
        </w:rPr>
        <w:t>mainstream</w:t>
      </w:r>
      <w:r w:rsidR="0062356C">
        <w:rPr>
          <w:rFonts w:ascii="Calibri" w:hAnsi="Calibri" w:cs="Calibri"/>
          <w:szCs w:val="22"/>
        </w:rPr>
        <w:t>’</w:t>
      </w:r>
      <w:r w:rsidRPr="00C22AFB">
        <w:rPr>
          <w:rFonts w:ascii="Calibri" w:hAnsi="Calibri" w:cs="Calibri"/>
          <w:szCs w:val="22"/>
        </w:rPr>
        <w:t xml:space="preserve"> Aboriginal Community Controlled sector services could worsen existing </w:t>
      </w:r>
      <w:r w:rsidR="004423BC">
        <w:rPr>
          <w:rFonts w:ascii="Calibri" w:hAnsi="Calibri" w:cs="Calibri"/>
          <w:szCs w:val="22"/>
        </w:rPr>
        <w:t>inequi</w:t>
      </w:r>
      <w:r w:rsidRPr="00C22AFB">
        <w:rPr>
          <w:rFonts w:ascii="Calibri" w:hAnsi="Calibri" w:cs="Calibri"/>
          <w:szCs w:val="22"/>
        </w:rPr>
        <w:t>ties.</w:t>
      </w:r>
      <w:r w:rsidR="00832DAD">
        <w:rPr>
          <w:rFonts w:ascii="Calibri" w:hAnsi="Calibri" w:cs="Calibri"/>
          <w:szCs w:val="22"/>
        </w:rPr>
        <w:t xml:space="preserve"> </w:t>
      </w:r>
    </w:p>
    <w:p w14:paraId="4D165A73" w14:textId="2DEA5E39" w:rsidR="0080655F" w:rsidRDefault="00712B81" w:rsidP="36B2C51D">
      <w:pPr>
        <w:rPr>
          <w:rFonts w:ascii="Calibri" w:hAnsi="Calibri" w:cs="Calibri"/>
        </w:rPr>
      </w:pPr>
      <w:r w:rsidRPr="36B2C51D">
        <w:rPr>
          <w:rFonts w:ascii="Calibri" w:hAnsi="Calibri" w:cs="Calibri"/>
        </w:rPr>
        <w:t>‘</w:t>
      </w:r>
      <w:r w:rsidR="00786AD4" w:rsidRPr="36B2C51D">
        <w:rPr>
          <w:rFonts w:ascii="Calibri" w:hAnsi="Calibri" w:cs="Calibri"/>
        </w:rPr>
        <w:t>Mainstreaming Aboriginal and Torres Strait Islander aged care services</w:t>
      </w:r>
      <w:r w:rsidR="00361BE0" w:rsidRPr="36B2C51D">
        <w:rPr>
          <w:rFonts w:ascii="Calibri" w:hAnsi="Calibri" w:cs="Calibri"/>
        </w:rPr>
        <w:t>, against the Royal Commission’s recommendations</w:t>
      </w:r>
      <w:r w:rsidR="000D731A" w:rsidRPr="36B2C51D">
        <w:rPr>
          <w:rFonts w:ascii="Calibri" w:hAnsi="Calibri" w:cs="Calibri"/>
        </w:rPr>
        <w:t>,</w:t>
      </w:r>
      <w:r w:rsidR="00786AD4" w:rsidRPr="36B2C51D">
        <w:rPr>
          <w:rFonts w:ascii="Calibri" w:hAnsi="Calibri" w:cs="Calibri"/>
        </w:rPr>
        <w:t xml:space="preserve"> risks undermining culturally responsive care and</w:t>
      </w:r>
      <w:r w:rsidR="00B56722" w:rsidRPr="36B2C51D">
        <w:rPr>
          <w:rFonts w:ascii="Calibri" w:hAnsi="Calibri" w:cs="Calibri"/>
        </w:rPr>
        <w:t xml:space="preserve"> losing Aboriginal Community-Controlled Organisations</w:t>
      </w:r>
      <w:r w:rsidR="47F14C46" w:rsidRPr="36B2C51D">
        <w:rPr>
          <w:rFonts w:ascii="Calibri" w:hAnsi="Calibri" w:cs="Calibri"/>
        </w:rPr>
        <w:t xml:space="preserve"> (ACCOs)</w:t>
      </w:r>
      <w:r w:rsidR="00B56722" w:rsidRPr="36B2C51D">
        <w:rPr>
          <w:rFonts w:ascii="Calibri" w:hAnsi="Calibri" w:cs="Calibri"/>
        </w:rPr>
        <w:t>, who are critical as sector providers.</w:t>
      </w:r>
      <w:r w:rsidR="00786AD4" w:rsidRPr="36B2C51D">
        <w:rPr>
          <w:rFonts w:ascii="Calibri" w:hAnsi="Calibri" w:cs="Calibri"/>
        </w:rPr>
        <w:t xml:space="preserve"> </w:t>
      </w:r>
      <w:r w:rsidR="00361BE0" w:rsidRPr="36B2C51D">
        <w:rPr>
          <w:rFonts w:ascii="Calibri" w:hAnsi="Calibri" w:cs="Calibri"/>
        </w:rPr>
        <w:t>ACCOs co-designing aged care for</w:t>
      </w:r>
      <w:r w:rsidR="000D731A" w:rsidRPr="36B2C51D">
        <w:rPr>
          <w:rFonts w:ascii="Calibri" w:hAnsi="Calibri" w:cs="Calibri"/>
        </w:rPr>
        <w:t xml:space="preserve"> and with</w:t>
      </w:r>
      <w:r w:rsidR="00361BE0" w:rsidRPr="36B2C51D">
        <w:rPr>
          <w:rFonts w:ascii="Calibri" w:hAnsi="Calibri" w:cs="Calibri"/>
        </w:rPr>
        <w:t xml:space="preserve"> their own people </w:t>
      </w:r>
      <w:r w:rsidR="000D731A" w:rsidRPr="36B2C51D">
        <w:rPr>
          <w:rFonts w:ascii="Calibri" w:hAnsi="Calibri" w:cs="Calibri"/>
        </w:rPr>
        <w:t>can teach government</w:t>
      </w:r>
      <w:r w:rsidR="00361BE0" w:rsidRPr="36B2C51D">
        <w:rPr>
          <w:rFonts w:ascii="Calibri" w:hAnsi="Calibri" w:cs="Calibri"/>
        </w:rPr>
        <w:t xml:space="preserve"> about how we can care for the whole of a person</w:t>
      </w:r>
      <w:r w:rsidR="000D731A" w:rsidRPr="36B2C51D">
        <w:rPr>
          <w:rFonts w:ascii="Calibri" w:hAnsi="Calibri" w:cs="Calibri"/>
        </w:rPr>
        <w:t>’s spiritual and emotional identity</w:t>
      </w:r>
      <w:r w:rsidR="00361BE0" w:rsidRPr="36B2C51D">
        <w:rPr>
          <w:rFonts w:ascii="Calibri" w:hAnsi="Calibri" w:cs="Calibri"/>
        </w:rPr>
        <w:t xml:space="preserve">, no matter </w:t>
      </w:r>
      <w:r w:rsidR="000D731A" w:rsidRPr="36B2C51D">
        <w:rPr>
          <w:rFonts w:ascii="Calibri" w:hAnsi="Calibri" w:cs="Calibri"/>
        </w:rPr>
        <w:t xml:space="preserve">who or </w:t>
      </w:r>
      <w:r w:rsidR="00361BE0" w:rsidRPr="36B2C51D">
        <w:rPr>
          <w:rFonts w:ascii="Calibri" w:hAnsi="Calibri" w:cs="Calibri"/>
        </w:rPr>
        <w:t>where they are</w:t>
      </w:r>
      <w:r w:rsidR="000D731A" w:rsidRPr="36B2C51D">
        <w:rPr>
          <w:rFonts w:ascii="Calibri" w:hAnsi="Calibri" w:cs="Calibri"/>
        </w:rPr>
        <w:t xml:space="preserve"> in Australia</w:t>
      </w:r>
      <w:r w:rsidR="006D1BBF" w:rsidRPr="36B2C51D">
        <w:rPr>
          <w:rFonts w:ascii="Calibri" w:hAnsi="Calibri" w:cs="Calibri"/>
        </w:rPr>
        <w:t>.</w:t>
      </w:r>
      <w:r w:rsidRPr="36B2C51D">
        <w:rPr>
          <w:rFonts w:ascii="Calibri" w:hAnsi="Calibri" w:cs="Calibri"/>
        </w:rPr>
        <w:t>’</w:t>
      </w:r>
      <w:r>
        <w:br/>
      </w:r>
      <w:r>
        <w:br/>
      </w:r>
      <w:r w:rsidR="00832DAD" w:rsidRPr="36B2C51D">
        <w:rPr>
          <w:rFonts w:ascii="Calibri" w:hAnsi="Calibri" w:cs="Calibri"/>
        </w:rPr>
        <w:t>The Inspector-General’s report also raises c</w:t>
      </w:r>
      <w:r w:rsidR="006D1BBF" w:rsidRPr="36B2C51D">
        <w:rPr>
          <w:rFonts w:ascii="Calibri" w:hAnsi="Calibri" w:cs="Calibri"/>
        </w:rPr>
        <w:t>oncerns about the gap between services available under the NDIS and those offered through aged care.</w:t>
      </w:r>
      <w:r w:rsidR="00832DAD" w:rsidRPr="36B2C51D">
        <w:rPr>
          <w:rFonts w:ascii="Calibri" w:hAnsi="Calibri" w:cs="Calibri"/>
        </w:rPr>
        <w:t xml:space="preserve"> </w:t>
      </w:r>
    </w:p>
    <w:p w14:paraId="7E946C20" w14:textId="7D6F4E41" w:rsidR="006D1BBF" w:rsidRPr="00832DAD" w:rsidRDefault="00055B3F" w:rsidP="006D1BBF">
      <w:pPr>
        <w:rPr>
          <w:rFonts w:ascii="Calibri" w:hAnsi="Calibri" w:cs="Calibri"/>
          <w:szCs w:val="22"/>
        </w:rPr>
      </w:pPr>
      <w:r>
        <w:rPr>
          <w:rFonts w:ascii="Calibri" w:hAnsi="Calibri" w:cs="Calibri"/>
          <w:szCs w:val="22"/>
        </w:rPr>
        <w:t>‘</w:t>
      </w:r>
      <w:r w:rsidR="006D1BBF" w:rsidRPr="00832DAD">
        <w:rPr>
          <w:rFonts w:ascii="Calibri" w:hAnsi="Calibri" w:cs="Calibri"/>
          <w:szCs w:val="22"/>
        </w:rPr>
        <w:t xml:space="preserve">The loss of essential NDIS services must not leave older people with disability without </w:t>
      </w:r>
      <w:r w:rsidR="00CF327C">
        <w:rPr>
          <w:rFonts w:ascii="Calibri" w:hAnsi="Calibri" w:cs="Calibri"/>
          <w:szCs w:val="22"/>
        </w:rPr>
        <w:t xml:space="preserve">critical </w:t>
      </w:r>
      <w:r w:rsidR="006D1BBF" w:rsidRPr="00832DAD">
        <w:rPr>
          <w:rFonts w:ascii="Calibri" w:hAnsi="Calibri" w:cs="Calibri"/>
          <w:szCs w:val="22"/>
        </w:rPr>
        <w:t>support</w:t>
      </w:r>
      <w:r w:rsidR="00CF327C">
        <w:rPr>
          <w:rFonts w:ascii="Calibri" w:hAnsi="Calibri" w:cs="Calibri"/>
          <w:szCs w:val="22"/>
        </w:rPr>
        <w:t>s for their disability merely because the funding streams don’t align</w:t>
      </w:r>
      <w:r w:rsidR="00832DAD">
        <w:rPr>
          <w:rFonts w:ascii="Calibri" w:hAnsi="Calibri" w:cs="Calibri"/>
          <w:szCs w:val="22"/>
        </w:rPr>
        <w:t>,</w:t>
      </w:r>
      <w:r>
        <w:rPr>
          <w:rFonts w:ascii="Calibri" w:hAnsi="Calibri" w:cs="Calibri"/>
          <w:szCs w:val="22"/>
        </w:rPr>
        <w:t>’</w:t>
      </w:r>
      <w:r w:rsidR="00832DAD">
        <w:rPr>
          <w:rFonts w:ascii="Calibri" w:hAnsi="Calibri" w:cs="Calibri"/>
          <w:szCs w:val="22"/>
        </w:rPr>
        <w:t xml:space="preserve"> Ms Siegel-Brown said.</w:t>
      </w:r>
    </w:p>
    <w:p w14:paraId="1F04FCE4" w14:textId="03A9E93A" w:rsidR="006D1BBF" w:rsidRDefault="006D1BBF" w:rsidP="006D1BBF">
      <w:pPr>
        <w:rPr>
          <w:rFonts w:ascii="Calibri" w:hAnsi="Calibri" w:cs="Calibri"/>
          <w:szCs w:val="22"/>
        </w:rPr>
      </w:pPr>
      <w:r w:rsidRPr="00832DAD">
        <w:rPr>
          <w:rFonts w:ascii="Calibri" w:hAnsi="Calibri" w:cs="Calibri"/>
          <w:szCs w:val="22"/>
        </w:rPr>
        <w:t xml:space="preserve">With the implementation of the new Aged Care Act postponed to 1 November 2025, Ms Siegel-Brown </w:t>
      </w:r>
      <w:r w:rsidR="00CF327C">
        <w:rPr>
          <w:rFonts w:ascii="Calibri" w:hAnsi="Calibri" w:cs="Calibri"/>
          <w:szCs w:val="22"/>
        </w:rPr>
        <w:t>said this was a perfect</w:t>
      </w:r>
      <w:r w:rsidRPr="00832DAD">
        <w:rPr>
          <w:rFonts w:ascii="Calibri" w:hAnsi="Calibri" w:cs="Calibri"/>
          <w:szCs w:val="22"/>
        </w:rPr>
        <w:t xml:space="preserve"> time to reassess and realign reforms with the Royal Commission’s recommendations.</w:t>
      </w:r>
    </w:p>
    <w:p w14:paraId="1D6674A5" w14:textId="77DE9C65" w:rsidR="006D1BBF" w:rsidRPr="00832DAD" w:rsidRDefault="00055B3F" w:rsidP="006D1BBF">
      <w:pPr>
        <w:rPr>
          <w:rFonts w:ascii="Calibri" w:hAnsi="Calibri" w:cs="Calibri"/>
          <w:szCs w:val="22"/>
        </w:rPr>
      </w:pPr>
      <w:r>
        <w:rPr>
          <w:rFonts w:ascii="Calibri" w:hAnsi="Calibri" w:cs="Calibri"/>
          <w:szCs w:val="22"/>
        </w:rPr>
        <w:lastRenderedPageBreak/>
        <w:t>‘</w:t>
      </w:r>
      <w:r w:rsidR="006D1BBF" w:rsidRPr="00832DAD">
        <w:rPr>
          <w:rFonts w:ascii="Calibri" w:hAnsi="Calibri" w:cs="Calibri"/>
          <w:szCs w:val="22"/>
        </w:rPr>
        <w:t xml:space="preserve">We </w:t>
      </w:r>
      <w:r w:rsidR="004F7AFF">
        <w:rPr>
          <w:rFonts w:ascii="Calibri" w:hAnsi="Calibri" w:cs="Calibri"/>
          <w:szCs w:val="22"/>
        </w:rPr>
        <w:t xml:space="preserve">now </w:t>
      </w:r>
      <w:r w:rsidR="00CF327C">
        <w:rPr>
          <w:rFonts w:ascii="Calibri" w:hAnsi="Calibri" w:cs="Calibri"/>
          <w:szCs w:val="22"/>
        </w:rPr>
        <w:t>have legi</w:t>
      </w:r>
      <w:r w:rsidR="00361BE0">
        <w:rPr>
          <w:rFonts w:ascii="Calibri" w:hAnsi="Calibri" w:cs="Calibri"/>
          <w:szCs w:val="22"/>
        </w:rPr>
        <w:t>slated</w:t>
      </w:r>
      <w:r w:rsidR="00811976">
        <w:rPr>
          <w:rFonts w:ascii="Calibri" w:hAnsi="Calibri" w:cs="Calibri"/>
          <w:szCs w:val="22"/>
        </w:rPr>
        <w:t>,</w:t>
      </w:r>
      <w:r w:rsidR="0023030B">
        <w:rPr>
          <w:rFonts w:ascii="Calibri" w:hAnsi="Calibri" w:cs="Calibri"/>
          <w:szCs w:val="22"/>
        </w:rPr>
        <w:t xml:space="preserve"> unprecedented rights and person-centred care</w:t>
      </w:r>
      <w:r w:rsidR="006D1BBF" w:rsidRPr="00832DAD">
        <w:rPr>
          <w:rFonts w:ascii="Calibri" w:hAnsi="Calibri" w:cs="Calibri"/>
          <w:szCs w:val="22"/>
        </w:rPr>
        <w:t>.</w:t>
      </w:r>
      <w:r w:rsidR="00361BE0">
        <w:rPr>
          <w:rFonts w:ascii="Calibri" w:hAnsi="Calibri" w:cs="Calibri"/>
          <w:szCs w:val="22"/>
        </w:rPr>
        <w:t xml:space="preserve"> T</w:t>
      </w:r>
      <w:r w:rsidR="004605C1">
        <w:rPr>
          <w:rFonts w:ascii="Calibri" w:hAnsi="Calibri" w:cs="Calibri"/>
          <w:szCs w:val="22"/>
        </w:rPr>
        <w:t xml:space="preserve">his is </w:t>
      </w:r>
      <w:r w:rsidR="009427E8">
        <w:rPr>
          <w:rFonts w:ascii="Calibri" w:hAnsi="Calibri" w:cs="Calibri"/>
          <w:szCs w:val="22"/>
        </w:rPr>
        <w:t xml:space="preserve">a </w:t>
      </w:r>
      <w:r w:rsidR="004605C1">
        <w:rPr>
          <w:rFonts w:ascii="Calibri" w:hAnsi="Calibri" w:cs="Calibri"/>
          <w:szCs w:val="22"/>
        </w:rPr>
        <w:t xml:space="preserve">major achievement </w:t>
      </w:r>
      <w:r w:rsidR="00361BE0">
        <w:rPr>
          <w:rFonts w:ascii="Calibri" w:hAnsi="Calibri" w:cs="Calibri"/>
          <w:szCs w:val="22"/>
        </w:rPr>
        <w:t>by any government. But it is too valuable to</w:t>
      </w:r>
      <w:r w:rsidR="004605C1">
        <w:rPr>
          <w:rFonts w:ascii="Calibri" w:hAnsi="Calibri" w:cs="Calibri"/>
          <w:szCs w:val="22"/>
        </w:rPr>
        <w:t xml:space="preserve"> be just</w:t>
      </w:r>
      <w:r w:rsidR="00361BE0">
        <w:rPr>
          <w:rFonts w:ascii="Calibri" w:hAnsi="Calibri" w:cs="Calibri"/>
          <w:szCs w:val="22"/>
        </w:rPr>
        <w:t xml:space="preserve"> words on a page.</w:t>
      </w:r>
      <w:r w:rsidR="006D1BBF" w:rsidRPr="00832DAD">
        <w:rPr>
          <w:rFonts w:ascii="Calibri" w:hAnsi="Calibri" w:cs="Calibri"/>
          <w:szCs w:val="22"/>
        </w:rPr>
        <w:t xml:space="preserve"> This is our opportunity to work together and bring the Royal Commission’s vision to life.</w:t>
      </w:r>
      <w:r>
        <w:rPr>
          <w:rFonts w:ascii="Calibri" w:hAnsi="Calibri" w:cs="Calibri"/>
          <w:szCs w:val="22"/>
        </w:rPr>
        <w:t>’</w:t>
      </w:r>
    </w:p>
    <w:p w14:paraId="0C24A646" w14:textId="2CCCC66B" w:rsidR="00A70D6D" w:rsidRDefault="006D1BBF" w:rsidP="00832DAD">
      <w:pPr>
        <w:autoSpaceDE w:val="0"/>
        <w:autoSpaceDN w:val="0"/>
        <w:adjustRightInd w:val="0"/>
        <w:spacing w:after="120"/>
        <w:rPr>
          <w:color w:val="0563C1" w:themeColor="hyperlink"/>
          <w:szCs w:val="22"/>
          <w:u w:val="single"/>
        </w:rPr>
      </w:pPr>
      <w:r w:rsidRPr="006B009F">
        <w:rPr>
          <w:szCs w:val="22"/>
        </w:rPr>
        <w:t xml:space="preserve">For any questions, or to interview the Inspector-General, </w:t>
      </w:r>
      <w:r w:rsidRPr="00C22AFB">
        <w:rPr>
          <w:rFonts w:ascii="Calibri" w:hAnsi="Calibri" w:cs="Calibri"/>
          <w:szCs w:val="22"/>
        </w:rPr>
        <w:t>Natalie Siegel-Brown</w:t>
      </w:r>
      <w:r w:rsidRPr="006B009F">
        <w:rPr>
          <w:szCs w:val="22"/>
        </w:rPr>
        <w:t xml:space="preserve">, please contact </w:t>
      </w:r>
      <w:hyperlink r:id="rId10" w:history="1">
        <w:r w:rsidRPr="006B009F">
          <w:rPr>
            <w:color w:val="0563C1" w:themeColor="hyperlink"/>
            <w:szCs w:val="22"/>
            <w:u w:val="single"/>
          </w:rPr>
          <w:t>Media@igac.gov.au</w:t>
        </w:r>
      </w:hyperlink>
      <w:r w:rsidR="00E8560E">
        <w:t xml:space="preserve"> </w:t>
      </w:r>
      <w:r w:rsidR="00A21905">
        <w:t>or contact Simon Kinsmore on 0455 949 554.</w:t>
      </w:r>
    </w:p>
    <w:p w14:paraId="2421085B" w14:textId="42D9407E" w:rsidR="00832DAD" w:rsidRDefault="00832DAD" w:rsidP="00832DAD">
      <w:pPr>
        <w:rPr>
          <w:rFonts w:ascii="Calibri" w:hAnsi="Calibri" w:cs="Calibri"/>
          <w:szCs w:val="22"/>
        </w:rPr>
      </w:pPr>
      <w:r>
        <w:rPr>
          <w:rFonts w:ascii="Calibri" w:hAnsi="Calibri" w:cs="Calibri"/>
          <w:szCs w:val="22"/>
        </w:rPr>
        <w:t xml:space="preserve">The 2025 Progress Report on the Implementation of the Recommendations of the Royal Commission into Aged Care Quality and Safety is available here: </w:t>
      </w:r>
      <w:hyperlink r:id="rId11" w:history="1">
        <w:r w:rsidR="005F6013" w:rsidRPr="00AB0A09">
          <w:rPr>
            <w:rStyle w:val="Hyperlink"/>
            <w:rFonts w:ascii="Calibri" w:hAnsi="Calibri" w:cs="Calibri"/>
            <w:szCs w:val="22"/>
          </w:rPr>
          <w:t>https://www.igac.gov.au/collections/2025-progress-report-inspector-general-aged-care</w:t>
        </w:r>
      </w:hyperlink>
    </w:p>
    <w:p w14:paraId="28A4F084" w14:textId="77777777" w:rsidR="005F6013" w:rsidRPr="00832DAD" w:rsidRDefault="005F6013" w:rsidP="00832DAD">
      <w:pPr>
        <w:rPr>
          <w:rFonts w:ascii="Calibri" w:hAnsi="Calibri" w:cs="Calibri"/>
          <w:szCs w:val="22"/>
        </w:rPr>
      </w:pPr>
    </w:p>
    <w:sectPr w:rsidR="005F6013" w:rsidRPr="00832DAD" w:rsidSect="00CB36A7">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134"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EEB0" w14:textId="77777777" w:rsidR="00252AC5" w:rsidRDefault="00252AC5" w:rsidP="00AA3591">
      <w:pPr>
        <w:spacing w:after="0" w:line="240" w:lineRule="auto"/>
      </w:pPr>
      <w:r>
        <w:separator/>
      </w:r>
    </w:p>
  </w:endnote>
  <w:endnote w:type="continuationSeparator" w:id="0">
    <w:p w14:paraId="39D75B2D" w14:textId="77777777" w:rsidR="00252AC5" w:rsidRDefault="00252AC5" w:rsidP="00AA3591">
      <w:pPr>
        <w:spacing w:after="0" w:line="240" w:lineRule="auto"/>
      </w:pPr>
      <w:r>
        <w:continuationSeparator/>
      </w:r>
    </w:p>
  </w:endnote>
  <w:endnote w:type="continuationNotice" w:id="1">
    <w:p w14:paraId="276F2975" w14:textId="77777777" w:rsidR="00252AC5" w:rsidRDefault="00252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18F5" w14:textId="7058EB19" w:rsidR="00FF075D" w:rsidRDefault="00834B0C">
    <w:pPr>
      <w:pStyle w:val="Footer"/>
    </w:pPr>
    <w:r>
      <w:rPr>
        <w:noProof/>
      </w:rPr>
      <mc:AlternateContent>
        <mc:Choice Requires="wps">
          <w:drawing>
            <wp:anchor distT="0" distB="0" distL="0" distR="0" simplePos="0" relativeHeight="251658248" behindDoc="0" locked="0" layoutInCell="1" allowOverlap="1" wp14:anchorId="1E4020FC" wp14:editId="35F76024">
              <wp:simplePos x="635" y="635"/>
              <wp:positionH relativeFrom="page">
                <wp:align>center</wp:align>
              </wp:positionH>
              <wp:positionV relativeFrom="page">
                <wp:align>bottom</wp:align>
              </wp:positionV>
              <wp:extent cx="551815" cy="391160"/>
              <wp:effectExtent l="0" t="0" r="635" b="0"/>
              <wp:wrapNone/>
              <wp:docPr id="3665007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3E8FD1F" w14:textId="4C438C37" w:rsidR="00834B0C" w:rsidRPr="00834B0C" w:rsidRDefault="00834B0C" w:rsidP="00834B0C">
                          <w:pPr>
                            <w:spacing w:after="0"/>
                            <w:rPr>
                              <w:rFonts w:ascii="Calibri" w:eastAsia="Calibri" w:hAnsi="Calibri" w:cs="Calibri"/>
                              <w:noProof/>
                              <w:color w:val="FF0000"/>
                              <w:sz w:val="24"/>
                            </w:rPr>
                          </w:pPr>
                          <w:r w:rsidRPr="00834B0C">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4020FC"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73E8FD1F" w14:textId="4C438C37" w:rsidR="00834B0C" w:rsidRPr="00834B0C" w:rsidRDefault="00834B0C" w:rsidP="00834B0C">
                    <w:pPr>
                      <w:spacing w:after="0"/>
                      <w:rPr>
                        <w:rFonts w:ascii="Calibri" w:eastAsia="Calibri" w:hAnsi="Calibri" w:cs="Calibri"/>
                        <w:noProof/>
                        <w:color w:val="FF0000"/>
                        <w:sz w:val="24"/>
                      </w:rPr>
                    </w:pPr>
                    <w:r w:rsidRPr="00834B0C">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068B" w14:textId="546DA9CE" w:rsidR="00AA3591" w:rsidRDefault="00EF5C29" w:rsidP="007129F2">
    <w:pPr>
      <w:pStyle w:val="Footer"/>
      <w:tabs>
        <w:tab w:val="clear" w:pos="4513"/>
        <w:tab w:val="clear" w:pos="9026"/>
        <w:tab w:val="left" w:pos="2098"/>
      </w:tabs>
    </w:pPr>
    <w:r>
      <w:rPr>
        <w:noProof/>
      </w:rPr>
      <w:drawing>
        <wp:anchor distT="0" distB="0" distL="114300" distR="114300" simplePos="0" relativeHeight="251658240" behindDoc="1" locked="0" layoutInCell="1" allowOverlap="1" wp14:anchorId="50DDD8B1" wp14:editId="0E1821E0">
          <wp:simplePos x="0" y="0"/>
          <wp:positionH relativeFrom="column">
            <wp:posOffset>-868218</wp:posOffset>
          </wp:positionH>
          <wp:positionV relativeFrom="paragraph">
            <wp:posOffset>-1293090</wp:posOffset>
          </wp:positionV>
          <wp:extent cx="7526598" cy="19075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26598"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9F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3A94" w14:textId="3C7533EA" w:rsidR="00A70D6D" w:rsidRDefault="00783C13">
    <w:pPr>
      <w:pStyle w:val="Footer"/>
    </w:pPr>
    <w:r>
      <w:rPr>
        <w:noProof/>
      </w:rPr>
      <w:drawing>
        <wp:anchor distT="0" distB="0" distL="114300" distR="114300" simplePos="0" relativeHeight="251658243" behindDoc="0" locked="0" layoutInCell="1" allowOverlap="1" wp14:anchorId="0A39750A" wp14:editId="7755712B">
          <wp:simplePos x="0" y="0"/>
          <wp:positionH relativeFrom="column">
            <wp:posOffset>-922020</wp:posOffset>
          </wp:positionH>
          <wp:positionV relativeFrom="paragraph">
            <wp:posOffset>151130</wp:posOffset>
          </wp:positionV>
          <wp:extent cx="7572375" cy="4787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94BD" w14:textId="77777777" w:rsidR="00252AC5" w:rsidRDefault="00252AC5" w:rsidP="00AA3591">
      <w:pPr>
        <w:spacing w:after="0" w:line="240" w:lineRule="auto"/>
      </w:pPr>
      <w:r>
        <w:separator/>
      </w:r>
    </w:p>
  </w:footnote>
  <w:footnote w:type="continuationSeparator" w:id="0">
    <w:p w14:paraId="41D30D34" w14:textId="77777777" w:rsidR="00252AC5" w:rsidRDefault="00252AC5" w:rsidP="00AA3591">
      <w:pPr>
        <w:spacing w:after="0" w:line="240" w:lineRule="auto"/>
      </w:pPr>
      <w:r>
        <w:continuationSeparator/>
      </w:r>
    </w:p>
  </w:footnote>
  <w:footnote w:type="continuationNotice" w:id="1">
    <w:p w14:paraId="32015B1E" w14:textId="77777777" w:rsidR="00252AC5" w:rsidRDefault="00252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16C" w14:textId="03A1D6D0" w:rsidR="00FF075D" w:rsidRDefault="00834B0C">
    <w:pPr>
      <w:pStyle w:val="Header"/>
    </w:pPr>
    <w:r>
      <w:rPr>
        <w:noProof/>
      </w:rPr>
      <mc:AlternateContent>
        <mc:Choice Requires="wps">
          <w:drawing>
            <wp:anchor distT="0" distB="0" distL="0" distR="0" simplePos="0" relativeHeight="251658245" behindDoc="0" locked="0" layoutInCell="1" allowOverlap="1" wp14:anchorId="72BA923F" wp14:editId="343BB6D7">
              <wp:simplePos x="635" y="635"/>
              <wp:positionH relativeFrom="page">
                <wp:align>center</wp:align>
              </wp:positionH>
              <wp:positionV relativeFrom="page">
                <wp:align>top</wp:align>
              </wp:positionV>
              <wp:extent cx="551815" cy="391160"/>
              <wp:effectExtent l="0" t="0" r="635" b="8890"/>
              <wp:wrapNone/>
              <wp:docPr id="9445388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24ABA0" w14:textId="6AD8BF69" w:rsidR="00834B0C" w:rsidRPr="00834B0C" w:rsidRDefault="00834B0C" w:rsidP="00834B0C">
                          <w:pPr>
                            <w:spacing w:after="0"/>
                            <w:rPr>
                              <w:rFonts w:ascii="Calibri" w:eastAsia="Calibri" w:hAnsi="Calibri" w:cs="Calibri"/>
                              <w:noProof/>
                              <w:color w:val="FF0000"/>
                              <w:sz w:val="24"/>
                            </w:rPr>
                          </w:pPr>
                          <w:r w:rsidRPr="00834B0C">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BA923F"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524ABA0" w14:textId="6AD8BF69" w:rsidR="00834B0C" w:rsidRPr="00834B0C" w:rsidRDefault="00834B0C" w:rsidP="00834B0C">
                    <w:pPr>
                      <w:spacing w:after="0"/>
                      <w:rPr>
                        <w:rFonts w:ascii="Calibri" w:eastAsia="Calibri" w:hAnsi="Calibri" w:cs="Calibri"/>
                        <w:noProof/>
                        <w:color w:val="FF0000"/>
                        <w:sz w:val="24"/>
                      </w:rPr>
                    </w:pPr>
                    <w:r w:rsidRPr="00834B0C">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0596" w14:textId="4FF90AE2" w:rsidR="00CB36A7" w:rsidRDefault="00984733">
    <w:pPr>
      <w:pStyle w:val="Header"/>
    </w:pPr>
    <w:r>
      <w:rPr>
        <w:rFonts w:ascii="Arial" w:hAnsi="Arial" w:cs="Arial"/>
        <w:b/>
        <w:bCs/>
        <w:noProof/>
        <w:sz w:val="24"/>
        <w:szCs w:val="28"/>
      </w:rPr>
      <w:drawing>
        <wp:anchor distT="0" distB="0" distL="114300" distR="114300" simplePos="0" relativeHeight="251658242" behindDoc="1" locked="0" layoutInCell="1" allowOverlap="1" wp14:anchorId="7F5C8792" wp14:editId="2023676E">
          <wp:simplePos x="0" y="0"/>
          <wp:positionH relativeFrom="margin">
            <wp:posOffset>-590550</wp:posOffset>
          </wp:positionH>
          <wp:positionV relativeFrom="margin">
            <wp:posOffset>-850604</wp:posOffset>
          </wp:positionV>
          <wp:extent cx="59055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531B" w14:textId="49D06A70" w:rsidR="00A70D6D" w:rsidRDefault="00CB36A7">
    <w:pPr>
      <w:pStyle w:val="Header"/>
    </w:pPr>
    <w:r>
      <w:rPr>
        <w:noProof/>
      </w:rPr>
      <w:drawing>
        <wp:anchor distT="0" distB="0" distL="114300" distR="114300" simplePos="0" relativeHeight="251658241" behindDoc="0" locked="0" layoutInCell="1" allowOverlap="1" wp14:anchorId="7C082785" wp14:editId="5B90165D">
          <wp:simplePos x="0" y="0"/>
          <wp:positionH relativeFrom="column">
            <wp:posOffset>-914400</wp:posOffset>
          </wp:positionH>
          <wp:positionV relativeFrom="paragraph">
            <wp:posOffset>-443230</wp:posOffset>
          </wp:positionV>
          <wp:extent cx="7628394" cy="88286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6980877">
    <w:abstractNumId w:val="13"/>
  </w:num>
  <w:num w:numId="2" w16cid:durableId="1803841915">
    <w:abstractNumId w:val="7"/>
  </w:num>
  <w:num w:numId="3" w16cid:durableId="768309785">
    <w:abstractNumId w:val="5"/>
  </w:num>
  <w:num w:numId="4" w16cid:durableId="1455175674">
    <w:abstractNumId w:val="2"/>
  </w:num>
  <w:num w:numId="5" w16cid:durableId="765855580">
    <w:abstractNumId w:val="8"/>
  </w:num>
  <w:num w:numId="6" w16cid:durableId="1762605859">
    <w:abstractNumId w:val="1"/>
  </w:num>
  <w:num w:numId="7" w16cid:durableId="275136321">
    <w:abstractNumId w:val="6"/>
  </w:num>
  <w:num w:numId="8" w16cid:durableId="746459278">
    <w:abstractNumId w:val="0"/>
  </w:num>
  <w:num w:numId="9" w16cid:durableId="1451120461">
    <w:abstractNumId w:val="3"/>
  </w:num>
  <w:num w:numId="10" w16cid:durableId="1441681551">
    <w:abstractNumId w:val="9"/>
  </w:num>
  <w:num w:numId="11" w16cid:durableId="729962253">
    <w:abstractNumId w:val="4"/>
  </w:num>
  <w:num w:numId="12" w16cid:durableId="191916942">
    <w:abstractNumId w:val="11"/>
  </w:num>
  <w:num w:numId="13" w16cid:durableId="1510636728">
    <w:abstractNumId w:val="10"/>
  </w:num>
  <w:num w:numId="14" w16cid:durableId="736171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1603"/>
    <w:rsid w:val="00007338"/>
    <w:rsid w:val="00023387"/>
    <w:rsid w:val="0003786E"/>
    <w:rsid w:val="00041854"/>
    <w:rsid w:val="00055B3F"/>
    <w:rsid w:val="00056B8D"/>
    <w:rsid w:val="000628C6"/>
    <w:rsid w:val="000734EA"/>
    <w:rsid w:val="000751CA"/>
    <w:rsid w:val="00077216"/>
    <w:rsid w:val="000803BA"/>
    <w:rsid w:val="000D1B25"/>
    <w:rsid w:val="000D731A"/>
    <w:rsid w:val="000E1550"/>
    <w:rsid w:val="000E6A68"/>
    <w:rsid w:val="0011492C"/>
    <w:rsid w:val="00130EAF"/>
    <w:rsid w:val="00131986"/>
    <w:rsid w:val="00134D14"/>
    <w:rsid w:val="00141DF3"/>
    <w:rsid w:val="00147CDA"/>
    <w:rsid w:val="00151DE6"/>
    <w:rsid w:val="0015422A"/>
    <w:rsid w:val="00160274"/>
    <w:rsid w:val="00162656"/>
    <w:rsid w:val="001713B2"/>
    <w:rsid w:val="00173F98"/>
    <w:rsid w:val="001750DA"/>
    <w:rsid w:val="001A4928"/>
    <w:rsid w:val="001B0CF4"/>
    <w:rsid w:val="001B7B4A"/>
    <w:rsid w:val="001D29D8"/>
    <w:rsid w:val="001D5971"/>
    <w:rsid w:val="001D7759"/>
    <w:rsid w:val="00211187"/>
    <w:rsid w:val="00214580"/>
    <w:rsid w:val="0023030B"/>
    <w:rsid w:val="00252AC5"/>
    <w:rsid w:val="00261371"/>
    <w:rsid w:val="00264B76"/>
    <w:rsid w:val="002661B9"/>
    <w:rsid w:val="002720B1"/>
    <w:rsid w:val="0027754F"/>
    <w:rsid w:val="00280050"/>
    <w:rsid w:val="00281A0E"/>
    <w:rsid w:val="00292599"/>
    <w:rsid w:val="00295E8C"/>
    <w:rsid w:val="002A527E"/>
    <w:rsid w:val="002C0989"/>
    <w:rsid w:val="002C0F42"/>
    <w:rsid w:val="002C3CF3"/>
    <w:rsid w:val="002D3A57"/>
    <w:rsid w:val="002D4B9E"/>
    <w:rsid w:val="002F1825"/>
    <w:rsid w:val="002F46BD"/>
    <w:rsid w:val="003022B1"/>
    <w:rsid w:val="0030320C"/>
    <w:rsid w:val="0030636F"/>
    <w:rsid w:val="003151A0"/>
    <w:rsid w:val="00324A0B"/>
    <w:rsid w:val="00324DD0"/>
    <w:rsid w:val="003332CB"/>
    <w:rsid w:val="003368F9"/>
    <w:rsid w:val="00361BE0"/>
    <w:rsid w:val="0036398A"/>
    <w:rsid w:val="00371C77"/>
    <w:rsid w:val="003852DE"/>
    <w:rsid w:val="00387D62"/>
    <w:rsid w:val="003A5AD6"/>
    <w:rsid w:val="003A7C33"/>
    <w:rsid w:val="003B2B5F"/>
    <w:rsid w:val="003C1BC8"/>
    <w:rsid w:val="003C463C"/>
    <w:rsid w:val="003E3082"/>
    <w:rsid w:val="003F03C6"/>
    <w:rsid w:val="003F3CF7"/>
    <w:rsid w:val="00412E56"/>
    <w:rsid w:val="00413F51"/>
    <w:rsid w:val="00417ED8"/>
    <w:rsid w:val="004208B7"/>
    <w:rsid w:val="004251F8"/>
    <w:rsid w:val="004423BC"/>
    <w:rsid w:val="004456C1"/>
    <w:rsid w:val="004475DD"/>
    <w:rsid w:val="0045116E"/>
    <w:rsid w:val="004524C8"/>
    <w:rsid w:val="00457A64"/>
    <w:rsid w:val="004605C1"/>
    <w:rsid w:val="004707A4"/>
    <w:rsid w:val="00483B84"/>
    <w:rsid w:val="00485136"/>
    <w:rsid w:val="00494F3D"/>
    <w:rsid w:val="004A771A"/>
    <w:rsid w:val="004C1EDB"/>
    <w:rsid w:val="004C282E"/>
    <w:rsid w:val="004C77F3"/>
    <w:rsid w:val="004F5278"/>
    <w:rsid w:val="004F6DEE"/>
    <w:rsid w:val="004F7AFF"/>
    <w:rsid w:val="00500DFB"/>
    <w:rsid w:val="005244D1"/>
    <w:rsid w:val="005278B1"/>
    <w:rsid w:val="0055653D"/>
    <w:rsid w:val="005565B0"/>
    <w:rsid w:val="00586C55"/>
    <w:rsid w:val="005B4364"/>
    <w:rsid w:val="005C2149"/>
    <w:rsid w:val="005C5FE4"/>
    <w:rsid w:val="005D1ADB"/>
    <w:rsid w:val="005E1B6E"/>
    <w:rsid w:val="005F4DA6"/>
    <w:rsid w:val="005F6013"/>
    <w:rsid w:val="006003F7"/>
    <w:rsid w:val="00600D7E"/>
    <w:rsid w:val="006045D0"/>
    <w:rsid w:val="0062356C"/>
    <w:rsid w:val="00624B39"/>
    <w:rsid w:val="00634C94"/>
    <w:rsid w:val="006371F3"/>
    <w:rsid w:val="00650841"/>
    <w:rsid w:val="00653C6C"/>
    <w:rsid w:val="00670A64"/>
    <w:rsid w:val="00675C0B"/>
    <w:rsid w:val="00675DA6"/>
    <w:rsid w:val="00676400"/>
    <w:rsid w:val="00676ECE"/>
    <w:rsid w:val="006A6824"/>
    <w:rsid w:val="006D1BBF"/>
    <w:rsid w:val="006D77E5"/>
    <w:rsid w:val="006E2D11"/>
    <w:rsid w:val="007129F2"/>
    <w:rsid w:val="00712B81"/>
    <w:rsid w:val="0072711B"/>
    <w:rsid w:val="00733A5C"/>
    <w:rsid w:val="00735916"/>
    <w:rsid w:val="0074690A"/>
    <w:rsid w:val="00754302"/>
    <w:rsid w:val="0076353B"/>
    <w:rsid w:val="00777B27"/>
    <w:rsid w:val="00780C47"/>
    <w:rsid w:val="00783C13"/>
    <w:rsid w:val="00786AD4"/>
    <w:rsid w:val="00790DEA"/>
    <w:rsid w:val="0079203A"/>
    <w:rsid w:val="00794A10"/>
    <w:rsid w:val="0079568C"/>
    <w:rsid w:val="007A2235"/>
    <w:rsid w:val="007B400B"/>
    <w:rsid w:val="007B7ABA"/>
    <w:rsid w:val="007D3A87"/>
    <w:rsid w:val="007E0A30"/>
    <w:rsid w:val="007E5FCA"/>
    <w:rsid w:val="007F1CD1"/>
    <w:rsid w:val="0080655F"/>
    <w:rsid w:val="00811976"/>
    <w:rsid w:val="00832DAD"/>
    <w:rsid w:val="00834B0C"/>
    <w:rsid w:val="00844D5F"/>
    <w:rsid w:val="00874EF3"/>
    <w:rsid w:val="0088257F"/>
    <w:rsid w:val="00886A4B"/>
    <w:rsid w:val="008908AC"/>
    <w:rsid w:val="0089239E"/>
    <w:rsid w:val="008B2C5D"/>
    <w:rsid w:val="008C2059"/>
    <w:rsid w:val="008D0D2D"/>
    <w:rsid w:val="008D4E18"/>
    <w:rsid w:val="008D540A"/>
    <w:rsid w:val="008D6D79"/>
    <w:rsid w:val="008E0F49"/>
    <w:rsid w:val="008F2930"/>
    <w:rsid w:val="00906150"/>
    <w:rsid w:val="009061F0"/>
    <w:rsid w:val="009212A9"/>
    <w:rsid w:val="00921553"/>
    <w:rsid w:val="00924AB7"/>
    <w:rsid w:val="009344C0"/>
    <w:rsid w:val="00937033"/>
    <w:rsid w:val="00942193"/>
    <w:rsid w:val="009427E8"/>
    <w:rsid w:val="00963E6E"/>
    <w:rsid w:val="00984733"/>
    <w:rsid w:val="00995020"/>
    <w:rsid w:val="009C0270"/>
    <w:rsid w:val="009C25DB"/>
    <w:rsid w:val="009D44B0"/>
    <w:rsid w:val="009D517C"/>
    <w:rsid w:val="009E528D"/>
    <w:rsid w:val="009F393B"/>
    <w:rsid w:val="009F75B9"/>
    <w:rsid w:val="009F79B5"/>
    <w:rsid w:val="00A056B9"/>
    <w:rsid w:val="00A07A81"/>
    <w:rsid w:val="00A1794F"/>
    <w:rsid w:val="00A21905"/>
    <w:rsid w:val="00A32F99"/>
    <w:rsid w:val="00A368F4"/>
    <w:rsid w:val="00A37CDA"/>
    <w:rsid w:val="00A5012C"/>
    <w:rsid w:val="00A50767"/>
    <w:rsid w:val="00A52CCD"/>
    <w:rsid w:val="00A53172"/>
    <w:rsid w:val="00A70D6D"/>
    <w:rsid w:val="00A7674E"/>
    <w:rsid w:val="00A97CD5"/>
    <w:rsid w:val="00AA2F23"/>
    <w:rsid w:val="00AA3591"/>
    <w:rsid w:val="00AA4EBC"/>
    <w:rsid w:val="00AC0C8A"/>
    <w:rsid w:val="00AC3655"/>
    <w:rsid w:val="00AC5110"/>
    <w:rsid w:val="00AD6A89"/>
    <w:rsid w:val="00AF09C1"/>
    <w:rsid w:val="00AF417E"/>
    <w:rsid w:val="00B041D0"/>
    <w:rsid w:val="00B14F0C"/>
    <w:rsid w:val="00B2678F"/>
    <w:rsid w:val="00B3303C"/>
    <w:rsid w:val="00B400E8"/>
    <w:rsid w:val="00B42DD9"/>
    <w:rsid w:val="00B564F2"/>
    <w:rsid w:val="00B56722"/>
    <w:rsid w:val="00B706C8"/>
    <w:rsid w:val="00B907FC"/>
    <w:rsid w:val="00B9407F"/>
    <w:rsid w:val="00BA5616"/>
    <w:rsid w:val="00BB1F23"/>
    <w:rsid w:val="00BC57D2"/>
    <w:rsid w:val="00BE0532"/>
    <w:rsid w:val="00C061C6"/>
    <w:rsid w:val="00C164BE"/>
    <w:rsid w:val="00C251EE"/>
    <w:rsid w:val="00C44647"/>
    <w:rsid w:val="00C531BA"/>
    <w:rsid w:val="00C62DC5"/>
    <w:rsid w:val="00C7334B"/>
    <w:rsid w:val="00C740F3"/>
    <w:rsid w:val="00C864C0"/>
    <w:rsid w:val="00CA697B"/>
    <w:rsid w:val="00CB36A7"/>
    <w:rsid w:val="00CD2A50"/>
    <w:rsid w:val="00CD2DC8"/>
    <w:rsid w:val="00CD3D45"/>
    <w:rsid w:val="00CE022D"/>
    <w:rsid w:val="00CE3674"/>
    <w:rsid w:val="00CF327C"/>
    <w:rsid w:val="00D050BB"/>
    <w:rsid w:val="00D22826"/>
    <w:rsid w:val="00D25239"/>
    <w:rsid w:val="00D30FF0"/>
    <w:rsid w:val="00D32253"/>
    <w:rsid w:val="00D42C9D"/>
    <w:rsid w:val="00D45727"/>
    <w:rsid w:val="00D45D5C"/>
    <w:rsid w:val="00D542F6"/>
    <w:rsid w:val="00D84472"/>
    <w:rsid w:val="00D97B62"/>
    <w:rsid w:val="00DC76A9"/>
    <w:rsid w:val="00DD1B5E"/>
    <w:rsid w:val="00DD3E51"/>
    <w:rsid w:val="00DE7956"/>
    <w:rsid w:val="00DE7CFC"/>
    <w:rsid w:val="00E02DCB"/>
    <w:rsid w:val="00E2781B"/>
    <w:rsid w:val="00E306FB"/>
    <w:rsid w:val="00E66A8A"/>
    <w:rsid w:val="00E80081"/>
    <w:rsid w:val="00E850D1"/>
    <w:rsid w:val="00E8560E"/>
    <w:rsid w:val="00E91576"/>
    <w:rsid w:val="00E95A5F"/>
    <w:rsid w:val="00EB19D4"/>
    <w:rsid w:val="00EB33D0"/>
    <w:rsid w:val="00ED16AC"/>
    <w:rsid w:val="00ED43BA"/>
    <w:rsid w:val="00EE2AAA"/>
    <w:rsid w:val="00EE3804"/>
    <w:rsid w:val="00EF5C29"/>
    <w:rsid w:val="00F035AC"/>
    <w:rsid w:val="00F1020B"/>
    <w:rsid w:val="00F10407"/>
    <w:rsid w:val="00F14D6C"/>
    <w:rsid w:val="00F20946"/>
    <w:rsid w:val="00F40AAC"/>
    <w:rsid w:val="00F41AA7"/>
    <w:rsid w:val="00F445E1"/>
    <w:rsid w:val="00F47280"/>
    <w:rsid w:val="00F51702"/>
    <w:rsid w:val="00F53867"/>
    <w:rsid w:val="00F5498F"/>
    <w:rsid w:val="00F7285F"/>
    <w:rsid w:val="00F73589"/>
    <w:rsid w:val="00F810E8"/>
    <w:rsid w:val="00F906C9"/>
    <w:rsid w:val="00FA506F"/>
    <w:rsid w:val="00FA7780"/>
    <w:rsid w:val="00FC0EBC"/>
    <w:rsid w:val="00FD06EB"/>
    <w:rsid w:val="00FD7D6A"/>
    <w:rsid w:val="00FE2999"/>
    <w:rsid w:val="00FF075D"/>
    <w:rsid w:val="00FF228B"/>
    <w:rsid w:val="039495D5"/>
    <w:rsid w:val="044A3D0C"/>
    <w:rsid w:val="215AD7B3"/>
    <w:rsid w:val="25B07C23"/>
    <w:rsid w:val="2ABD1B14"/>
    <w:rsid w:val="2FE2D77E"/>
    <w:rsid w:val="306E0694"/>
    <w:rsid w:val="36870AB4"/>
    <w:rsid w:val="36B2C51D"/>
    <w:rsid w:val="476DDA95"/>
    <w:rsid w:val="47F14C46"/>
    <w:rsid w:val="4C9D4288"/>
    <w:rsid w:val="4D0AB0B6"/>
    <w:rsid w:val="538970B1"/>
    <w:rsid w:val="5AC52A25"/>
    <w:rsid w:val="611686B7"/>
    <w:rsid w:val="76D935B6"/>
    <w:rsid w:val="77BDBBFA"/>
    <w:rsid w:val="7BB7C4EE"/>
    <w:rsid w:val="7F118F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0088C7D0-7787-4D63-9560-A66C5B48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uiPriority w:val="34"/>
    <w:qFormat/>
    <w:rsid w:val="00160274"/>
    <w:pPr>
      <w:ind w:left="720"/>
      <w:contextualSpacing/>
    </w:pPr>
  </w:style>
  <w:style w:type="character" w:styleId="CommentReference">
    <w:name w:val="annotation reference"/>
    <w:basedOn w:val="DefaultParagraphFont"/>
    <w:uiPriority w:val="99"/>
    <w:semiHidden/>
    <w:unhideWhenUsed/>
    <w:rsid w:val="000734EA"/>
    <w:rPr>
      <w:sz w:val="16"/>
      <w:szCs w:val="16"/>
    </w:rPr>
  </w:style>
  <w:style w:type="paragraph" w:styleId="CommentText">
    <w:name w:val="annotation text"/>
    <w:basedOn w:val="Normal"/>
    <w:link w:val="CommentTextChar"/>
    <w:uiPriority w:val="99"/>
    <w:unhideWhenUsed/>
    <w:rsid w:val="000734EA"/>
    <w:pPr>
      <w:spacing w:line="240" w:lineRule="auto"/>
    </w:pPr>
    <w:rPr>
      <w:sz w:val="20"/>
      <w:szCs w:val="20"/>
    </w:rPr>
  </w:style>
  <w:style w:type="character" w:customStyle="1" w:styleId="CommentTextChar">
    <w:name w:val="Comment Text Char"/>
    <w:basedOn w:val="DefaultParagraphFont"/>
    <w:link w:val="CommentText"/>
    <w:uiPriority w:val="99"/>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CF327C"/>
    <w:pPr>
      <w:spacing w:after="0" w:line="240" w:lineRule="auto"/>
    </w:pPr>
    <w:rPr>
      <w:rFonts w:asciiTheme="minorHAnsi" w:hAnsiTheme="minorHAnsi"/>
      <w:sz w:val="22"/>
    </w:rPr>
  </w:style>
  <w:style w:type="character" w:styleId="Hyperlink">
    <w:name w:val="Hyperlink"/>
    <w:basedOn w:val="DefaultParagraphFont"/>
    <w:uiPriority w:val="99"/>
    <w:unhideWhenUsed/>
    <w:rsid w:val="005F60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513498962">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 w:id="19195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gac.gov.au/collections/2025-progress-report-inspector-general-aged-car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edia@igac.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3c2291-e1b6-47ff-a130-ab60a193957d" xsi:nil="true"/>
    <lcf76f155ced4ddcb4097134ff3c332f xmlns="2198ab08-73ba-47ca-9592-b0be8b99793c">
      <Terms xmlns="http://schemas.microsoft.com/office/infopath/2007/PartnerControls"/>
    </lcf76f155ced4ddcb4097134ff3c332f>
    <Extension xmlns="2198ab08-73ba-47ca-9592-b0be8b9979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4AC909E31A7740B92FC1F4AA423495" ma:contentTypeVersion="15" ma:contentTypeDescription="Create a new document." ma:contentTypeScope="" ma:versionID="12ba89637f0bdd5f235d000fd068693e">
  <xsd:schema xmlns:xsd="http://www.w3.org/2001/XMLSchema" xmlns:xs="http://www.w3.org/2001/XMLSchema" xmlns:p="http://schemas.microsoft.com/office/2006/metadata/properties" xmlns:ns2="2198ab08-73ba-47ca-9592-b0be8b99793c" xmlns:ns3="b43c2291-e1b6-47ff-a130-ab60a193957d" targetNamespace="http://schemas.microsoft.com/office/2006/metadata/properties" ma:root="true" ma:fieldsID="059f6e4fce270541dc6637bc3c902e94" ns2:_="" ns3:_="">
    <xsd:import namespace="2198ab08-73ba-47ca-9592-b0be8b99793c"/>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Extens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ab08-73ba-47ca-9592-b0be8b997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Extension" ma:index="11" nillable="true" ma:displayName="Extension" ma:format="Dropdown" ma:internalName="Extension">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0411E-F07D-4D39-935B-D3D15D22CE74}">
  <ds:schemaRefs>
    <ds:schemaRef ds:uri="http://schemas.microsoft.com/sharepoint/v3/contenttype/forms"/>
  </ds:schemaRefs>
</ds:datastoreItem>
</file>

<file path=customXml/itemProps2.xml><?xml version="1.0" encoding="utf-8"?>
<ds:datastoreItem xmlns:ds="http://schemas.openxmlformats.org/officeDocument/2006/customXml" ds:itemID="{0D2A0059-864B-429E-8C78-E921199D8702}">
  <ds:schemaRefs>
    <ds:schemaRef ds:uri="http://schemas.microsoft.com/office/2006/metadata/properties"/>
    <ds:schemaRef ds:uri="http://schemas.microsoft.com/office/infopath/2007/PartnerControls"/>
    <ds:schemaRef ds:uri="b43c2291-e1b6-47ff-a130-ab60a193957d"/>
    <ds:schemaRef ds:uri="2198ab08-73ba-47ca-9592-b0be8b99793c"/>
  </ds:schemaRefs>
</ds:datastoreItem>
</file>

<file path=customXml/itemProps3.xml><?xml version="1.0" encoding="utf-8"?>
<ds:datastoreItem xmlns:ds="http://schemas.openxmlformats.org/officeDocument/2006/customXml" ds:itemID="{FB37FB02-9607-4A72-B9CB-85C6CA4F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ab08-73ba-47ca-9592-b0be8b99793c"/>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Media release – Inspector-General releases statutory report on progress in implementing recommendations from Aged Care Royal Commission</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 Inspector-General releases statutory report on progress in implementing recommendations from Aged Care Royal Commission</dc:title>
  <dc:subject>What we do</dc:subject>
  <dc:creator>Office of the Inspector-General of Aged Care</dc:creator>
  <cp:keywords>OIGAC; IGAC</cp:keywords>
  <dc:description/>
  <cp:lastModifiedBy>MCCAY, Meryl</cp:lastModifiedBy>
  <cp:revision>22</cp:revision>
  <cp:lastPrinted>2025-09-02T06:01:00Z</cp:lastPrinted>
  <dcterms:created xsi:type="dcterms:W3CDTF">2025-07-30T02:18:00Z</dcterms:created>
  <dcterms:modified xsi:type="dcterms:W3CDTF">2025-09-04T07:01:00Z</dcterms:modified>
</cp:coreProperties>
</file>