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06D4" w14:textId="69DCEDB7" w:rsidR="002B3B35" w:rsidRPr="002B3B35" w:rsidRDefault="002B3B35" w:rsidP="002B3B35">
      <w:pPr>
        <w:keepNext/>
        <w:keepLines/>
        <w:spacing w:before="160" w:after="80" w:line="240" w:lineRule="auto"/>
        <w:outlineLvl w:val="1"/>
        <w:rPr>
          <w:rFonts w:eastAsia="Yu Gothic Light" w:cs="Calibri Light"/>
          <w:b/>
          <w:bCs/>
          <w:color w:val="5F266B"/>
          <w:sz w:val="30"/>
          <w:szCs w:val="30"/>
          <w:lang w:val="en-ZA" w:eastAsia="ko-KR"/>
        </w:rPr>
      </w:pPr>
      <w:r w:rsidRPr="002B3B35">
        <w:rPr>
          <w:rFonts w:eastAsia="Yu Gothic Light" w:cs="Calibri Light"/>
          <w:b/>
          <w:bCs/>
          <w:color w:val="5F266B"/>
          <w:sz w:val="30"/>
          <w:szCs w:val="30"/>
          <w:lang w:val="en-ZA" w:eastAsia="ko-KR"/>
        </w:rPr>
        <w:t>202</w:t>
      </w:r>
      <w:r w:rsidRPr="00047066">
        <w:rPr>
          <w:rFonts w:eastAsia="Yu Gothic Light" w:cs="Calibri Light"/>
          <w:b/>
          <w:bCs/>
          <w:color w:val="5F266B"/>
          <w:sz w:val="30"/>
          <w:szCs w:val="30"/>
          <w:lang w:val="en-ZA" w:eastAsia="ko-KR"/>
        </w:rPr>
        <w:t>5</w:t>
      </w:r>
      <w:r w:rsidRPr="002B3B35">
        <w:rPr>
          <w:rFonts w:eastAsia="Yu Gothic Light" w:cs="Calibri Light"/>
          <w:b/>
          <w:bCs/>
          <w:color w:val="5F266B"/>
          <w:sz w:val="30"/>
          <w:szCs w:val="30"/>
          <w:lang w:val="en-ZA" w:eastAsia="ko-KR"/>
        </w:rPr>
        <w:t xml:space="preserve"> Progress Report: Implementation of the Recommendations of the Royal Commission into Aged Care Quality and Safety</w:t>
      </w:r>
    </w:p>
    <w:p w14:paraId="09D8F8D7" w14:textId="47A895F8" w:rsidR="002B3B35" w:rsidRDefault="002B3B35" w:rsidP="002B3B35">
      <w:pPr>
        <w:spacing w:before="120" w:after="120" w:line="249" w:lineRule="auto"/>
        <w:rPr>
          <w:rFonts w:eastAsia="Calibri" w:cs="Calibri Light"/>
        </w:rPr>
      </w:pPr>
      <w:r w:rsidRPr="002B3B35">
        <w:rPr>
          <w:rFonts w:eastAsia="Calibri" w:cs="Calibri Light"/>
        </w:rPr>
        <w:t xml:space="preserve">The Royal Commission </w:t>
      </w:r>
      <w:r w:rsidRPr="002B3B35">
        <w:rPr>
          <w:rFonts w:eastAsia="Calibri" w:cs="Calibri Light"/>
          <w:kern w:val="0"/>
          <w:szCs w:val="24"/>
          <w14:ligatures w14:val="none"/>
        </w:rPr>
        <w:t xml:space="preserve">into Aged Care Quality and Safety (Royal Commission) </w:t>
      </w:r>
      <w:r w:rsidRPr="002B3B35">
        <w:rPr>
          <w:rFonts w:eastAsia="Calibri" w:cs="Calibri Light"/>
        </w:rPr>
        <w:t xml:space="preserve">set </w:t>
      </w:r>
      <w:r w:rsidR="00A751AA">
        <w:rPr>
          <w:rFonts w:eastAsia="Calibri" w:cs="Calibri Light"/>
        </w:rPr>
        <w:t xml:space="preserve">a vision and </w:t>
      </w:r>
      <w:r w:rsidRPr="002B3B35">
        <w:rPr>
          <w:rFonts w:eastAsia="Calibri" w:cs="Calibri Light"/>
        </w:rPr>
        <w:t xml:space="preserve"> foundations for transformational change across the aged care system. </w:t>
      </w:r>
      <w:r w:rsidR="007A7F2D">
        <w:rPr>
          <w:rFonts w:eastAsia="Calibri" w:cs="Calibri Light"/>
        </w:rPr>
        <w:t>I</w:t>
      </w:r>
      <w:r w:rsidR="007A7F2D" w:rsidRPr="007A7F2D">
        <w:rPr>
          <w:rFonts w:eastAsia="Calibri" w:cs="Calibri Light"/>
        </w:rPr>
        <w:t xml:space="preserve">n the 4 years </w:t>
      </w:r>
      <w:r w:rsidR="00CF12E2">
        <w:rPr>
          <w:rFonts w:eastAsia="Calibri" w:cs="Calibri Light"/>
        </w:rPr>
        <w:t>since Commissioners handed down their Final Report</w:t>
      </w:r>
      <w:r w:rsidR="000B0130">
        <w:rPr>
          <w:rFonts w:eastAsia="Calibri" w:cs="Calibri Light"/>
        </w:rPr>
        <w:t xml:space="preserve">, </w:t>
      </w:r>
      <w:r w:rsidR="008031EA">
        <w:rPr>
          <w:rFonts w:eastAsia="Calibri" w:cs="Calibri Light"/>
        </w:rPr>
        <w:t xml:space="preserve">the </w:t>
      </w:r>
      <w:r w:rsidR="000B0130">
        <w:rPr>
          <w:rFonts w:eastAsia="Calibri" w:cs="Calibri Light"/>
        </w:rPr>
        <w:t>government has embarked on</w:t>
      </w:r>
      <w:r w:rsidR="00CF12E2">
        <w:rPr>
          <w:rFonts w:eastAsia="Calibri" w:cs="Calibri Light"/>
        </w:rPr>
        <w:t xml:space="preserve"> </w:t>
      </w:r>
      <w:r w:rsidR="001A544F">
        <w:rPr>
          <w:rFonts w:eastAsia="Calibri" w:cs="Calibri Light"/>
        </w:rPr>
        <w:t xml:space="preserve">a </w:t>
      </w:r>
      <w:r w:rsidR="0099344F">
        <w:rPr>
          <w:rFonts w:eastAsia="Calibri" w:cs="Calibri Light"/>
        </w:rPr>
        <w:t xml:space="preserve">significant </w:t>
      </w:r>
      <w:r w:rsidRPr="002C293D">
        <w:rPr>
          <w:rFonts w:eastAsia="Calibri" w:cs="Calibri Light"/>
        </w:rPr>
        <w:t>reform</w:t>
      </w:r>
      <w:r w:rsidR="00020A7C">
        <w:rPr>
          <w:rFonts w:eastAsia="Calibri" w:cs="Calibri Light"/>
        </w:rPr>
        <w:t xml:space="preserve"> agenda</w:t>
      </w:r>
      <w:r w:rsidR="007A7F2D">
        <w:rPr>
          <w:rFonts w:eastAsia="Calibri" w:cs="Calibri Light"/>
        </w:rPr>
        <w:t>.</w:t>
      </w:r>
      <w:r w:rsidR="000668E6">
        <w:rPr>
          <w:rFonts w:eastAsia="Calibri" w:cs="Calibri Light"/>
        </w:rPr>
        <w:t xml:space="preserve"> </w:t>
      </w:r>
    </w:p>
    <w:p w14:paraId="5EE1F65C" w14:textId="0E9758B4" w:rsidR="000B0130" w:rsidRDefault="008C494C" w:rsidP="002B3B35">
      <w:pPr>
        <w:spacing w:before="120" w:after="120" w:line="249" w:lineRule="auto"/>
        <w:rPr>
          <w:rFonts w:eastAsia="Calibri" w:cs="Calibri Light"/>
        </w:rPr>
      </w:pPr>
      <w:r>
        <w:rPr>
          <w:rFonts w:eastAsia="Calibri" w:cs="Calibri Light"/>
        </w:rPr>
        <w:t>This report</w:t>
      </w:r>
      <w:r w:rsidR="00E0425D">
        <w:rPr>
          <w:rFonts w:eastAsia="Calibri" w:cs="Calibri Light"/>
        </w:rPr>
        <w:t xml:space="preserve">, </w:t>
      </w:r>
      <w:r w:rsidR="00CF124C" w:rsidRPr="00CF124C">
        <w:rPr>
          <w:rFonts w:eastAsia="Calibri" w:cs="Calibri Light"/>
        </w:rPr>
        <w:t xml:space="preserve">prepared in response to </w:t>
      </w:r>
      <w:r w:rsidR="00CF124C" w:rsidRPr="0003463C">
        <w:rPr>
          <w:rFonts w:eastAsia="Calibri" w:cs="Calibri Light"/>
        </w:rPr>
        <w:t>the</w:t>
      </w:r>
      <w:r w:rsidR="00CF124C" w:rsidRPr="007A7F2D">
        <w:rPr>
          <w:rFonts w:eastAsia="Calibri" w:cs="Calibri Light"/>
          <w:i/>
          <w:iCs/>
        </w:rPr>
        <w:t xml:space="preserve"> Inspector-General of Aged Care Act 2023</w:t>
      </w:r>
      <w:r w:rsidR="00CF124C" w:rsidRPr="00CF124C">
        <w:rPr>
          <w:rFonts w:eastAsia="Calibri" w:cs="Calibri Light"/>
        </w:rPr>
        <w:t xml:space="preserve">, </w:t>
      </w:r>
      <w:r w:rsidR="00866411">
        <w:rPr>
          <w:rFonts w:eastAsia="Calibri" w:cs="Calibri Light"/>
        </w:rPr>
        <w:t xml:space="preserve">assesses </w:t>
      </w:r>
      <w:r w:rsidR="00F72D8E">
        <w:rPr>
          <w:rFonts w:eastAsia="Calibri" w:cs="Calibri Light"/>
        </w:rPr>
        <w:t xml:space="preserve">the Australian Government’s </w:t>
      </w:r>
      <w:r w:rsidR="000E3D90">
        <w:rPr>
          <w:rFonts w:eastAsia="Calibri" w:cs="Calibri Light"/>
        </w:rPr>
        <w:t xml:space="preserve">progress </w:t>
      </w:r>
      <w:r w:rsidR="00F72D8E">
        <w:rPr>
          <w:rFonts w:eastAsia="Calibri" w:cs="Calibri Light"/>
        </w:rPr>
        <w:t xml:space="preserve">in responding to the </w:t>
      </w:r>
      <w:r w:rsidR="00CF124C" w:rsidRPr="00CF124C">
        <w:rPr>
          <w:rFonts w:eastAsia="Calibri" w:cs="Calibri Light"/>
        </w:rPr>
        <w:t>Royal Commission</w:t>
      </w:r>
      <w:r w:rsidR="004A1B1D">
        <w:rPr>
          <w:rFonts w:eastAsia="Calibri" w:cs="Calibri Light"/>
        </w:rPr>
        <w:t>’s recommendations</w:t>
      </w:r>
      <w:r w:rsidR="00CF124C" w:rsidRPr="00CF124C">
        <w:rPr>
          <w:rFonts w:eastAsia="Calibri" w:cs="Calibri Light"/>
        </w:rPr>
        <w:t xml:space="preserve"> as </w:t>
      </w:r>
      <w:proofErr w:type="gramStart"/>
      <w:r w:rsidR="00CF124C" w:rsidRPr="00CF124C">
        <w:rPr>
          <w:rFonts w:eastAsia="Calibri" w:cs="Calibri Light"/>
        </w:rPr>
        <w:t>at</w:t>
      </w:r>
      <w:proofErr w:type="gramEnd"/>
      <w:r w:rsidR="00CF124C" w:rsidRPr="00CF124C">
        <w:rPr>
          <w:rFonts w:eastAsia="Calibri" w:cs="Calibri Light"/>
        </w:rPr>
        <w:t xml:space="preserve"> 1 January</w:t>
      </w:r>
      <w:r w:rsidR="00CF124C">
        <w:rPr>
          <w:rFonts w:eastAsia="Calibri" w:cs="Calibri Light"/>
        </w:rPr>
        <w:t xml:space="preserve"> </w:t>
      </w:r>
      <w:r w:rsidR="007A7F2D">
        <w:rPr>
          <w:rFonts w:eastAsia="Calibri" w:cs="Calibri Light"/>
        </w:rPr>
        <w:t>2025</w:t>
      </w:r>
      <w:r w:rsidR="00A751AA">
        <w:rPr>
          <w:rFonts w:eastAsia="Calibri" w:cs="Calibri Light"/>
        </w:rPr>
        <w:t xml:space="preserve">. In particular it seeks to answer </w:t>
      </w:r>
      <w:r w:rsidR="000B0130">
        <w:rPr>
          <w:rFonts w:eastAsia="Calibri" w:cs="Calibri Light"/>
        </w:rPr>
        <w:t xml:space="preserve">whether the seeds </w:t>
      </w:r>
      <w:r w:rsidR="00A751AA">
        <w:rPr>
          <w:rFonts w:eastAsia="Calibri" w:cs="Calibri Light"/>
        </w:rPr>
        <w:t xml:space="preserve">of </w:t>
      </w:r>
      <w:r w:rsidR="000B0130">
        <w:rPr>
          <w:rFonts w:eastAsia="Calibri" w:cs="Calibri Light"/>
        </w:rPr>
        <w:t>the transformation the Royal Commission envisaged</w:t>
      </w:r>
      <w:r w:rsidR="00A751AA">
        <w:rPr>
          <w:rFonts w:eastAsia="Calibri" w:cs="Calibri Light"/>
        </w:rPr>
        <w:t>,</w:t>
      </w:r>
      <w:r w:rsidR="000B0130">
        <w:rPr>
          <w:rFonts w:eastAsia="Calibri" w:cs="Calibri Light"/>
        </w:rPr>
        <w:t xml:space="preserve"> have </w:t>
      </w:r>
      <w:r w:rsidR="00A751AA">
        <w:rPr>
          <w:rFonts w:eastAsia="Calibri" w:cs="Calibri Light"/>
        </w:rPr>
        <w:t xml:space="preserve">in fact </w:t>
      </w:r>
      <w:r w:rsidR="000B0130">
        <w:rPr>
          <w:rFonts w:eastAsia="Calibri" w:cs="Calibri Light"/>
        </w:rPr>
        <w:t>been sewn</w:t>
      </w:r>
      <w:r w:rsidR="007A7F2D">
        <w:rPr>
          <w:rFonts w:eastAsia="Calibri" w:cs="Calibri Light"/>
        </w:rPr>
        <w:t>.</w:t>
      </w:r>
    </w:p>
    <w:p w14:paraId="039F73E5" w14:textId="729D292A" w:rsidR="00D223BB" w:rsidRDefault="000B0130" w:rsidP="000B0130">
      <w:pPr>
        <w:spacing w:before="120" w:after="120" w:line="249" w:lineRule="auto"/>
        <w:rPr>
          <w:rFonts w:eastAsia="Calibri" w:cs="Calibri Light"/>
        </w:rPr>
      </w:pPr>
      <w:r>
        <w:rPr>
          <w:rFonts w:eastAsia="Calibri" w:cs="Calibri Light"/>
        </w:rPr>
        <w:t xml:space="preserve">An important caveat before you read </w:t>
      </w:r>
      <w:proofErr w:type="gramStart"/>
      <w:r>
        <w:rPr>
          <w:rFonts w:eastAsia="Calibri" w:cs="Calibri Light"/>
        </w:rPr>
        <w:t>on:</w:t>
      </w:r>
      <w:proofErr w:type="gramEnd"/>
      <w:r>
        <w:rPr>
          <w:rFonts w:eastAsia="Calibri" w:cs="Calibri Light"/>
        </w:rPr>
        <w:t xml:space="preserve"> </w:t>
      </w:r>
      <w:r w:rsidR="003E30F5">
        <w:rPr>
          <w:rFonts w:eastAsia="Calibri" w:cs="Calibri Light"/>
        </w:rPr>
        <w:t>t</w:t>
      </w:r>
      <w:r w:rsidR="00D223BB" w:rsidRPr="00DE27A7">
        <w:t xml:space="preserve">his report has not been written with the intention of finding the ‘gotcha’ moments in the government’s implementation of the recommendations from the Royal Commission. Indeed, the government and I ultimately share the same goal: a future where every older person in this country does not merely ‘exist’ in aged care but truly </w:t>
      </w:r>
      <w:r w:rsidR="00D223BB" w:rsidRPr="00DE27A7">
        <w:rPr>
          <w:i/>
        </w:rPr>
        <w:t>lives</w:t>
      </w:r>
      <w:r w:rsidR="00D223BB" w:rsidRPr="00DE27A7">
        <w:t xml:space="preserve"> as they age; connected, valued and supported. That aim underscores the human rights </w:t>
      </w:r>
      <w:r w:rsidR="00D223BB" w:rsidRPr="00303B96">
        <w:t>lens</w:t>
      </w:r>
      <w:r w:rsidR="00D223BB" w:rsidRPr="00DE27A7">
        <w:t xml:space="preserve"> through which this report has been formulated.</w:t>
      </w:r>
    </w:p>
    <w:p w14:paraId="289A379A" w14:textId="3FF50AFB" w:rsidR="000B0130" w:rsidRDefault="00073E08" w:rsidP="000B0130">
      <w:pPr>
        <w:spacing w:before="120" w:after="120" w:line="249" w:lineRule="auto"/>
        <w:rPr>
          <w:rFonts w:eastAsia="Calibri" w:cs="Calibri Light"/>
        </w:rPr>
      </w:pPr>
      <w:r>
        <w:rPr>
          <w:rFonts w:eastAsia="Calibri" w:cs="Calibri Light"/>
        </w:rPr>
        <w:t>The</w:t>
      </w:r>
      <w:r w:rsidR="000B0130" w:rsidRPr="000B0130">
        <w:rPr>
          <w:rFonts w:eastAsia="Calibri" w:cs="Calibri Light"/>
        </w:rPr>
        <w:t xml:space="preserve"> Royal Commission called on the government to move </w:t>
      </w:r>
      <w:r w:rsidR="00E442FF">
        <w:rPr>
          <w:rFonts w:eastAsia="Calibri" w:cs="Calibri Light"/>
        </w:rPr>
        <w:t>the</w:t>
      </w:r>
      <w:r w:rsidR="000B0130" w:rsidRPr="000B0130">
        <w:rPr>
          <w:rFonts w:eastAsia="Calibri" w:cs="Calibri Light"/>
        </w:rPr>
        <w:t xml:space="preserve"> ‘big rocks’</w:t>
      </w:r>
      <w:r w:rsidR="00A751AA">
        <w:rPr>
          <w:rFonts w:eastAsia="Calibri" w:cs="Calibri Light"/>
        </w:rPr>
        <w:t xml:space="preserve"> in </w:t>
      </w:r>
      <w:r w:rsidR="009A4AD8">
        <w:rPr>
          <w:rFonts w:eastAsia="Calibri" w:cs="Calibri Light"/>
        </w:rPr>
        <w:t>undertaking reform</w:t>
      </w:r>
      <w:r w:rsidR="00ED030D">
        <w:rPr>
          <w:rFonts w:eastAsia="Calibri" w:cs="Calibri Light"/>
        </w:rPr>
        <w:t xml:space="preserve">, so that </w:t>
      </w:r>
      <w:r w:rsidR="00D12BFB">
        <w:rPr>
          <w:rFonts w:eastAsia="Calibri" w:cs="Calibri Light"/>
        </w:rPr>
        <w:t xml:space="preserve">the change was </w:t>
      </w:r>
      <w:r w:rsidR="000B0130" w:rsidRPr="000B0130">
        <w:rPr>
          <w:rFonts w:eastAsia="Calibri" w:cs="Calibri Light"/>
        </w:rPr>
        <w:t xml:space="preserve">meaningful. </w:t>
      </w:r>
      <w:r w:rsidR="00A751AA">
        <w:rPr>
          <w:rFonts w:eastAsia="Calibri" w:cs="Calibri Light"/>
        </w:rPr>
        <w:t>Change</w:t>
      </w:r>
      <w:r w:rsidR="00A751AA" w:rsidRPr="000B0130">
        <w:rPr>
          <w:rFonts w:eastAsia="Calibri" w:cs="Calibri Light"/>
        </w:rPr>
        <w:t xml:space="preserve"> </w:t>
      </w:r>
      <w:r w:rsidR="000B0130" w:rsidRPr="000B0130">
        <w:rPr>
          <w:rFonts w:eastAsia="Calibri" w:cs="Calibri Light"/>
        </w:rPr>
        <w:t>of this magnitude does not happen quickly, and it would be unrealistic to think all of the Commission’s 148 recommendations</w:t>
      </w:r>
      <w:r w:rsidR="00AE1239">
        <w:rPr>
          <w:rFonts w:eastAsia="Calibri" w:cs="Calibri Light"/>
        </w:rPr>
        <w:t xml:space="preserve"> </w:t>
      </w:r>
      <w:r w:rsidR="00903997">
        <w:rPr>
          <w:rFonts w:eastAsia="Calibri" w:cs="Calibri Light"/>
        </w:rPr>
        <w:t>would be fully implemented by 1 January 2025</w:t>
      </w:r>
      <w:r>
        <w:rPr>
          <w:rFonts w:eastAsia="Calibri" w:cs="Calibri Light"/>
        </w:rPr>
        <w:t>.</w:t>
      </w:r>
    </w:p>
    <w:p w14:paraId="126EFC1B" w14:textId="6FC80014" w:rsidR="00073E08" w:rsidRDefault="00073E08" w:rsidP="000B0130">
      <w:pPr>
        <w:spacing w:before="120" w:after="120" w:line="249" w:lineRule="auto"/>
        <w:rPr>
          <w:rFonts w:eastAsia="Calibri" w:cs="Calibri Light"/>
        </w:rPr>
      </w:pPr>
      <w:r>
        <w:rPr>
          <w:rFonts w:eastAsia="Calibri" w:cs="Calibri Light"/>
        </w:rPr>
        <w:t xml:space="preserve">However, </w:t>
      </w:r>
      <w:r w:rsidR="00593AA4">
        <w:rPr>
          <w:rFonts w:eastAsia="Calibri" w:cs="Calibri Light"/>
        </w:rPr>
        <w:t xml:space="preserve">the </w:t>
      </w:r>
      <w:r w:rsidR="005A19AC">
        <w:rPr>
          <w:rFonts w:eastAsia="Calibri" w:cs="Calibri Light"/>
        </w:rPr>
        <w:t>Office</w:t>
      </w:r>
      <w:r w:rsidR="00593AA4">
        <w:rPr>
          <w:rFonts w:eastAsia="Calibri" w:cs="Calibri Light"/>
        </w:rPr>
        <w:t>’s</w:t>
      </w:r>
      <w:r w:rsidR="000B0130" w:rsidRPr="000B0130">
        <w:rPr>
          <w:rFonts w:eastAsia="Calibri" w:cs="Calibri Light"/>
        </w:rPr>
        <w:t xml:space="preserve"> conclusion is that despite the volume and pace of reform, </w:t>
      </w:r>
      <w:r w:rsidR="000B66B8">
        <w:rPr>
          <w:rFonts w:eastAsia="Calibri" w:cs="Calibri Light"/>
        </w:rPr>
        <w:t>a number of actions</w:t>
      </w:r>
      <w:r w:rsidR="000B0130" w:rsidRPr="000B0130">
        <w:rPr>
          <w:rFonts w:eastAsia="Calibri" w:cs="Calibri Light"/>
        </w:rPr>
        <w:t xml:space="preserve"> that would have </w:t>
      </w:r>
      <w:r w:rsidR="000B66B8">
        <w:rPr>
          <w:rFonts w:eastAsia="Calibri" w:cs="Calibri Light"/>
        </w:rPr>
        <w:t>seeded</w:t>
      </w:r>
      <w:r w:rsidR="000B0130" w:rsidRPr="000B0130">
        <w:rPr>
          <w:rFonts w:eastAsia="Calibri" w:cs="Calibri Light"/>
        </w:rPr>
        <w:t xml:space="preserve"> transformational change have not </w:t>
      </w:r>
      <w:r w:rsidR="00AB0C61">
        <w:rPr>
          <w:rFonts w:eastAsia="Calibri" w:cs="Calibri Light"/>
        </w:rPr>
        <w:t xml:space="preserve">yet </w:t>
      </w:r>
      <w:r w:rsidR="000B0130" w:rsidRPr="000B0130">
        <w:rPr>
          <w:rFonts w:eastAsia="Calibri" w:cs="Calibri Light"/>
        </w:rPr>
        <w:t>been delivered</w:t>
      </w:r>
      <w:r w:rsidR="005400DB">
        <w:rPr>
          <w:rFonts w:eastAsia="Calibri" w:cs="Calibri Light"/>
        </w:rPr>
        <w:t xml:space="preserve">. </w:t>
      </w:r>
      <w:r w:rsidR="00397F84">
        <w:rPr>
          <w:rFonts w:eastAsia="Calibri" w:cs="Calibri Light"/>
        </w:rPr>
        <w:t>Other actions are not actively being considered</w:t>
      </w:r>
      <w:r w:rsidR="000B0130" w:rsidRPr="000B0130">
        <w:rPr>
          <w:rFonts w:eastAsia="Calibri" w:cs="Calibri Light"/>
        </w:rPr>
        <w:t xml:space="preserve">, and </w:t>
      </w:r>
      <w:r>
        <w:rPr>
          <w:rFonts w:eastAsia="Calibri" w:cs="Calibri Light"/>
        </w:rPr>
        <w:t xml:space="preserve">indeed </w:t>
      </w:r>
      <w:r w:rsidR="00981DF9">
        <w:rPr>
          <w:rFonts w:eastAsia="Calibri" w:cs="Calibri Light"/>
        </w:rPr>
        <w:t xml:space="preserve">the manner of implementation </w:t>
      </w:r>
      <w:r w:rsidR="00E810FE">
        <w:rPr>
          <w:rFonts w:eastAsia="Calibri" w:cs="Calibri Light"/>
        </w:rPr>
        <w:t xml:space="preserve">in </w:t>
      </w:r>
      <w:r w:rsidR="006D111A">
        <w:rPr>
          <w:rFonts w:eastAsia="Calibri" w:cs="Calibri Light"/>
        </w:rPr>
        <w:t>some areas</w:t>
      </w:r>
      <w:r>
        <w:rPr>
          <w:rFonts w:eastAsia="Calibri" w:cs="Calibri Light"/>
        </w:rPr>
        <w:t xml:space="preserve"> may </w:t>
      </w:r>
      <w:r w:rsidR="006D111A">
        <w:rPr>
          <w:rFonts w:eastAsia="Calibri" w:cs="Calibri Light"/>
        </w:rPr>
        <w:t xml:space="preserve">bring about </w:t>
      </w:r>
      <w:r>
        <w:rPr>
          <w:rFonts w:eastAsia="Calibri" w:cs="Calibri Light"/>
        </w:rPr>
        <w:t>unintended consequences that undermine the intent of both the Royal Commission’s recommendations and the government’s own policy</w:t>
      </w:r>
      <w:r w:rsidR="001E141E">
        <w:rPr>
          <w:rFonts w:eastAsia="Calibri" w:cs="Calibri Light"/>
        </w:rPr>
        <w:t xml:space="preserve"> goals</w:t>
      </w:r>
      <w:r>
        <w:rPr>
          <w:rFonts w:eastAsia="Calibri" w:cs="Calibri Light"/>
        </w:rPr>
        <w:t>.</w:t>
      </w:r>
    </w:p>
    <w:p w14:paraId="38F178B5" w14:textId="4012431C" w:rsidR="00A9051B" w:rsidRDefault="0050518D" w:rsidP="00073E08">
      <w:pPr>
        <w:spacing w:before="120" w:after="120" w:line="249" w:lineRule="auto"/>
        <w:rPr>
          <w:rFonts w:eastAsia="Calibri" w:cs="Calibri Light"/>
        </w:rPr>
      </w:pPr>
      <w:r>
        <w:rPr>
          <w:rFonts w:eastAsia="Calibri" w:cs="Calibri Light"/>
        </w:rPr>
        <w:t>There is no doubt that one</w:t>
      </w:r>
      <w:r w:rsidR="001A3276">
        <w:rPr>
          <w:rFonts w:eastAsia="Calibri" w:cs="Calibri Light"/>
        </w:rPr>
        <w:t xml:space="preserve"> of</w:t>
      </w:r>
      <w:r>
        <w:rPr>
          <w:rFonts w:eastAsia="Calibri" w:cs="Calibri Light"/>
        </w:rPr>
        <w:t xml:space="preserve"> </w:t>
      </w:r>
      <w:r w:rsidR="00073E08">
        <w:rPr>
          <w:rFonts w:eastAsia="Calibri" w:cs="Calibri Light"/>
        </w:rPr>
        <w:t>the greatest and most impressive reform</w:t>
      </w:r>
      <w:r>
        <w:rPr>
          <w:rFonts w:eastAsia="Calibri" w:cs="Calibri Light"/>
        </w:rPr>
        <w:t>s</w:t>
      </w:r>
      <w:r w:rsidR="00A8740A">
        <w:rPr>
          <w:rFonts w:eastAsia="Calibri" w:cs="Calibri Light"/>
        </w:rPr>
        <w:t xml:space="preserve"> has indeed been achieved</w:t>
      </w:r>
      <w:r w:rsidR="005627B2">
        <w:rPr>
          <w:rFonts w:eastAsia="Calibri" w:cs="Calibri Light"/>
        </w:rPr>
        <w:t xml:space="preserve"> – namely</w:t>
      </w:r>
      <w:r w:rsidR="00073E08">
        <w:rPr>
          <w:rFonts w:eastAsia="Calibri" w:cs="Calibri Light"/>
        </w:rPr>
        <w:t xml:space="preserve"> the </w:t>
      </w:r>
      <w:r w:rsidR="00117E8F">
        <w:rPr>
          <w:rFonts w:eastAsia="Calibri" w:cs="Calibri Light"/>
        </w:rPr>
        <w:t xml:space="preserve">preparation and </w:t>
      </w:r>
      <w:r w:rsidR="00073E08">
        <w:rPr>
          <w:rFonts w:eastAsia="Calibri" w:cs="Calibri Light"/>
        </w:rPr>
        <w:t>passage of the</w:t>
      </w:r>
      <w:r w:rsidR="000B0130" w:rsidRPr="000B0130">
        <w:rPr>
          <w:rFonts w:eastAsia="Calibri" w:cs="Calibri Light"/>
        </w:rPr>
        <w:t xml:space="preserve"> </w:t>
      </w:r>
      <w:r w:rsidR="000B0130" w:rsidRPr="001708BD">
        <w:rPr>
          <w:rFonts w:eastAsia="Calibri" w:cs="Calibri Light"/>
          <w:i/>
          <w:iCs/>
        </w:rPr>
        <w:t>Aged Care Act 2024</w:t>
      </w:r>
      <w:r w:rsidR="00073E08">
        <w:rPr>
          <w:rFonts w:eastAsia="Calibri" w:cs="Calibri Light"/>
        </w:rPr>
        <w:t xml:space="preserve">. It </w:t>
      </w:r>
      <w:r w:rsidR="00974AA3">
        <w:rPr>
          <w:rFonts w:eastAsia="Calibri" w:cs="Calibri Light"/>
        </w:rPr>
        <w:t xml:space="preserve">will breathe </w:t>
      </w:r>
      <w:r w:rsidR="0044041C">
        <w:rPr>
          <w:rFonts w:eastAsia="Calibri" w:cs="Calibri Light"/>
        </w:rPr>
        <w:t>life into</w:t>
      </w:r>
      <w:r w:rsidR="00974AA3">
        <w:rPr>
          <w:rFonts w:eastAsia="Calibri" w:cs="Calibri Light"/>
        </w:rPr>
        <w:t xml:space="preserve"> </w:t>
      </w:r>
      <w:r w:rsidR="000B0130" w:rsidRPr="000B0130">
        <w:rPr>
          <w:rFonts w:eastAsia="Calibri" w:cs="Calibri Light"/>
        </w:rPr>
        <w:t>the vision of aged care set by the Royal Commission.</w:t>
      </w:r>
      <w:r w:rsidR="000423D0">
        <w:rPr>
          <w:rFonts w:eastAsia="Calibri" w:cs="Calibri Light"/>
        </w:rPr>
        <w:t xml:space="preserve"> This truly is a compass for transformation; it mandates a</w:t>
      </w:r>
      <w:r w:rsidR="000B0130" w:rsidRPr="000B0130">
        <w:rPr>
          <w:rFonts w:eastAsia="Calibri" w:cs="Calibri Light"/>
        </w:rPr>
        <w:t xml:space="preserve"> ‘forward-looking aged care system’ that upholds human rights, supports older people to live ‘active, self-determined, meaningful lives’. The Act promotes care that is equitably accessible and which prioritises compassion, kindness, respect for life experiences, dignity, quality of life, mental health and wellbeing.</w:t>
      </w:r>
      <w:r w:rsidR="00DC344C" w:rsidRPr="00DC344C">
        <w:rPr>
          <w:rFonts w:eastAsia="Calibri" w:cs="Calibri Light"/>
        </w:rPr>
        <w:t xml:space="preserve"> </w:t>
      </w:r>
      <w:r w:rsidR="00EC1C46">
        <w:rPr>
          <w:rFonts w:eastAsia="Calibri" w:cs="Calibri Light"/>
        </w:rPr>
        <w:t xml:space="preserve">But we are in danger that on the current trajectory, some </w:t>
      </w:r>
      <w:r w:rsidR="004701FC">
        <w:rPr>
          <w:rFonts w:eastAsia="Calibri" w:cs="Calibri Light"/>
        </w:rPr>
        <w:t>objects of the Act may be aspiration alone.</w:t>
      </w:r>
    </w:p>
    <w:p w14:paraId="2A115B09" w14:textId="3E3E459E" w:rsidR="000B0130" w:rsidRPr="000B0130" w:rsidRDefault="0047202A" w:rsidP="000B0130">
      <w:pPr>
        <w:spacing w:before="120" w:after="120" w:line="249" w:lineRule="auto"/>
        <w:rPr>
          <w:rFonts w:eastAsia="Calibri" w:cs="Calibri Light"/>
        </w:rPr>
      </w:pPr>
      <w:r>
        <w:rPr>
          <w:rFonts w:eastAsia="Calibri" w:cs="Calibri Light"/>
        </w:rPr>
        <w:t xml:space="preserve">This report </w:t>
      </w:r>
      <w:r w:rsidR="00185C88">
        <w:rPr>
          <w:rFonts w:eastAsia="Calibri" w:cs="Calibri Light"/>
        </w:rPr>
        <w:t xml:space="preserve">is a clarion call. There are some areas </w:t>
      </w:r>
      <w:r w:rsidR="00775CBB">
        <w:rPr>
          <w:rFonts w:eastAsia="Calibri" w:cs="Calibri Light"/>
        </w:rPr>
        <w:t xml:space="preserve">in which an urgent change in approach is needed if the underlying intent of the Act is to be more than </w:t>
      </w:r>
      <w:r w:rsidR="004701FC">
        <w:rPr>
          <w:rFonts w:eastAsia="Calibri" w:cs="Calibri Light"/>
        </w:rPr>
        <w:t>that</w:t>
      </w:r>
      <w:r>
        <w:rPr>
          <w:rFonts w:eastAsia="Calibri" w:cs="Calibri Light"/>
        </w:rPr>
        <w:t xml:space="preserve">. </w:t>
      </w:r>
    </w:p>
    <w:p w14:paraId="0852F10F" w14:textId="32B220BD" w:rsidR="002A3AF8" w:rsidRDefault="000B0130" w:rsidP="00E733C9">
      <w:pPr>
        <w:spacing w:before="120" w:after="120" w:line="249" w:lineRule="auto"/>
        <w:rPr>
          <w:rFonts w:eastAsia="Calibri" w:cs="Calibri Light"/>
        </w:rPr>
      </w:pPr>
      <w:r w:rsidRPr="000B0130">
        <w:rPr>
          <w:rFonts w:eastAsia="Calibri" w:cs="Calibri Light"/>
        </w:rPr>
        <w:t>My Office understands the reality the government is up against</w:t>
      </w:r>
      <w:r w:rsidR="00213BC9">
        <w:rPr>
          <w:rFonts w:eastAsia="Calibri" w:cs="Calibri Light"/>
        </w:rPr>
        <w:t>;</w:t>
      </w:r>
      <w:r w:rsidRPr="000B0130">
        <w:rPr>
          <w:rFonts w:eastAsia="Calibri" w:cs="Calibri Light"/>
        </w:rPr>
        <w:t xml:space="preserve"> an increasing ageing population magnifying the demand for aged care, with a decreasing working-age population to fund it. </w:t>
      </w:r>
      <w:r w:rsidR="005E6AB0">
        <w:rPr>
          <w:rFonts w:eastAsia="Calibri" w:cs="Calibri Light"/>
        </w:rPr>
        <w:t xml:space="preserve">There is not a limitless </w:t>
      </w:r>
      <w:r w:rsidR="009927AE">
        <w:rPr>
          <w:rFonts w:eastAsia="Calibri" w:cs="Calibri Light"/>
        </w:rPr>
        <w:t xml:space="preserve">pool of money. </w:t>
      </w:r>
      <w:r w:rsidRPr="000B0130">
        <w:rPr>
          <w:rFonts w:eastAsia="Calibri" w:cs="Calibri Light"/>
        </w:rPr>
        <w:t>But</w:t>
      </w:r>
      <w:r w:rsidR="00A40C31" w:rsidDel="00AA7762">
        <w:rPr>
          <w:rFonts w:eastAsia="Calibri" w:cs="Calibri Light"/>
        </w:rPr>
        <w:t xml:space="preserve"> </w:t>
      </w:r>
      <w:r w:rsidR="00AA7762">
        <w:rPr>
          <w:rFonts w:eastAsia="Calibri" w:cs="Calibri Light"/>
        </w:rPr>
        <w:t xml:space="preserve">the </w:t>
      </w:r>
      <w:r w:rsidR="005A19AC">
        <w:rPr>
          <w:rFonts w:eastAsia="Calibri" w:cs="Calibri Light"/>
        </w:rPr>
        <w:t xml:space="preserve">Office </w:t>
      </w:r>
      <w:r w:rsidR="00185065">
        <w:rPr>
          <w:rFonts w:eastAsia="Calibri" w:cs="Calibri Light"/>
        </w:rPr>
        <w:t xml:space="preserve">shares stakeholder fears that </w:t>
      </w:r>
      <w:r w:rsidR="00A40C31">
        <w:rPr>
          <w:rFonts w:eastAsia="Calibri" w:cs="Calibri Light"/>
        </w:rPr>
        <w:t xml:space="preserve">some </w:t>
      </w:r>
      <w:r w:rsidRPr="000B0130">
        <w:rPr>
          <w:rFonts w:eastAsia="Calibri" w:cs="Calibri Light"/>
        </w:rPr>
        <w:t xml:space="preserve">reforms </w:t>
      </w:r>
      <w:r w:rsidR="00185065">
        <w:rPr>
          <w:rFonts w:eastAsia="Calibri" w:cs="Calibri Light"/>
        </w:rPr>
        <w:t>could</w:t>
      </w:r>
      <w:r w:rsidRPr="000B0130">
        <w:rPr>
          <w:rFonts w:eastAsia="Calibri" w:cs="Calibri Light"/>
        </w:rPr>
        <w:t xml:space="preserve"> potential</w:t>
      </w:r>
      <w:r w:rsidR="00185065">
        <w:rPr>
          <w:rFonts w:eastAsia="Calibri" w:cs="Calibri Light"/>
        </w:rPr>
        <w:t>ly</w:t>
      </w:r>
      <w:r w:rsidRPr="000B0130">
        <w:rPr>
          <w:rFonts w:eastAsia="Calibri" w:cs="Calibri Light"/>
        </w:rPr>
        <w:t xml:space="preserve"> create unnecessary cost blow outs by</w:t>
      </w:r>
      <w:r w:rsidR="005A19AC">
        <w:rPr>
          <w:rFonts w:eastAsia="Calibri" w:cs="Calibri Light"/>
        </w:rPr>
        <w:t>, for example,</w:t>
      </w:r>
      <w:r w:rsidRPr="000B0130">
        <w:rPr>
          <w:rFonts w:eastAsia="Calibri" w:cs="Calibri Light"/>
        </w:rPr>
        <w:t xml:space="preserve"> pre-emptively pushing people into residential aged care when they cannot access or afford the care they need to stay at home. While my primary concern is for the human rights consequences of institutionalising people against their </w:t>
      </w:r>
      <w:r w:rsidR="00B67A16">
        <w:rPr>
          <w:rFonts w:eastAsia="Calibri" w:cs="Calibri Light"/>
        </w:rPr>
        <w:t>desire to age in place</w:t>
      </w:r>
      <w:r w:rsidRPr="000B0130">
        <w:rPr>
          <w:rFonts w:eastAsia="Calibri" w:cs="Calibri Light"/>
        </w:rPr>
        <w:t xml:space="preserve">, </w:t>
      </w:r>
      <w:r w:rsidR="00B36A36">
        <w:rPr>
          <w:rFonts w:eastAsia="Calibri" w:cs="Calibri Light"/>
        </w:rPr>
        <w:t xml:space="preserve">I </w:t>
      </w:r>
      <w:r w:rsidR="00307C95">
        <w:rPr>
          <w:rFonts w:eastAsia="Calibri" w:cs="Calibri Light"/>
        </w:rPr>
        <w:t xml:space="preserve">also query whether </w:t>
      </w:r>
      <w:r w:rsidR="00D55CDD">
        <w:rPr>
          <w:rFonts w:eastAsia="Calibri" w:cs="Calibri Light"/>
        </w:rPr>
        <w:t>aspects of the government’s reform agenda</w:t>
      </w:r>
      <w:r w:rsidRPr="000B0130">
        <w:rPr>
          <w:rFonts w:eastAsia="Calibri" w:cs="Calibri Light"/>
        </w:rPr>
        <w:t xml:space="preserve"> will ultimately cost the taxpayer more.</w:t>
      </w:r>
      <w:r w:rsidR="002A3AF8">
        <w:rPr>
          <w:rFonts w:eastAsia="Calibri" w:cs="Calibri Light"/>
        </w:rPr>
        <w:br w:type="page"/>
      </w:r>
    </w:p>
    <w:p w14:paraId="06C9FAFA" w14:textId="40B09A42" w:rsidR="00B03FB7" w:rsidRPr="00EF118F" w:rsidRDefault="00B03FB7" w:rsidP="00EF118F">
      <w:pPr>
        <w:spacing w:after="0"/>
        <w:rPr>
          <w:rFonts w:eastAsia="Calibri" w:cs="Calibri Light"/>
          <w:b/>
          <w:bCs/>
          <w:color w:val="501549" w:themeColor="accent5" w:themeShade="80"/>
          <w:kern w:val="0"/>
          <w:sz w:val="24"/>
          <w:szCs w:val="28"/>
          <w14:ligatures w14:val="none"/>
        </w:rPr>
      </w:pPr>
      <w:r w:rsidRPr="00EF118F">
        <w:rPr>
          <w:rFonts w:eastAsia="Calibri" w:cs="Calibri Light"/>
          <w:b/>
          <w:bCs/>
          <w:color w:val="501549" w:themeColor="accent5" w:themeShade="80"/>
          <w:kern w:val="0"/>
          <w:sz w:val="24"/>
          <w:szCs w:val="28"/>
          <w14:ligatures w14:val="none"/>
        </w:rPr>
        <w:lastRenderedPageBreak/>
        <w:t>A brief guide to this Report</w:t>
      </w:r>
    </w:p>
    <w:p w14:paraId="1129FC08" w14:textId="7F635D7E" w:rsidR="00E82024" w:rsidRPr="002C293D" w:rsidRDefault="009B3A65" w:rsidP="002B3B35">
      <w:pPr>
        <w:spacing w:before="120" w:after="120" w:line="249" w:lineRule="auto"/>
        <w:rPr>
          <w:rFonts w:eastAsia="Calibri" w:cs="Calibri Light"/>
        </w:rPr>
      </w:pPr>
      <w:r>
        <w:rPr>
          <w:rFonts w:eastAsia="Calibri" w:cs="Calibri Light"/>
        </w:rPr>
        <w:t xml:space="preserve">The report </w:t>
      </w:r>
      <w:r w:rsidR="0001689D">
        <w:rPr>
          <w:rFonts w:eastAsia="Calibri" w:cs="Calibri Light"/>
        </w:rPr>
        <w:t xml:space="preserve">has 2 components. </w:t>
      </w:r>
    </w:p>
    <w:p w14:paraId="5FD76667" w14:textId="77777777" w:rsidR="0008107A" w:rsidRDefault="00E82024" w:rsidP="002B3B35">
      <w:pPr>
        <w:spacing w:before="120" w:after="120" w:line="249" w:lineRule="auto"/>
        <w:rPr>
          <w:rFonts w:eastAsia="Calibri" w:cs="Calibri Light"/>
        </w:rPr>
      </w:pPr>
      <w:r w:rsidRPr="002C293D">
        <w:rPr>
          <w:rFonts w:eastAsia="Calibri" w:cs="Calibri Light"/>
          <w:b/>
          <w:bCs/>
        </w:rPr>
        <w:t>Part A</w:t>
      </w:r>
      <w:r w:rsidRPr="002C293D">
        <w:rPr>
          <w:rFonts w:eastAsia="Calibri" w:cs="Calibri Light"/>
        </w:rPr>
        <w:t xml:space="preserve"> </w:t>
      </w:r>
      <w:r w:rsidR="007A6B9E">
        <w:rPr>
          <w:rFonts w:eastAsia="Calibri" w:cs="Calibri Light"/>
        </w:rPr>
        <w:t>provides a</w:t>
      </w:r>
      <w:r w:rsidR="00863EC6">
        <w:rPr>
          <w:rFonts w:eastAsia="Calibri" w:cs="Calibri Light"/>
        </w:rPr>
        <w:t>n overarching</w:t>
      </w:r>
      <w:r w:rsidR="007A6B9E">
        <w:rPr>
          <w:rFonts w:eastAsia="Calibri" w:cs="Calibri Light"/>
        </w:rPr>
        <w:t xml:space="preserve"> </w:t>
      </w:r>
      <w:r w:rsidR="00E82549">
        <w:rPr>
          <w:rFonts w:eastAsia="Calibri" w:cs="Calibri Light"/>
        </w:rPr>
        <w:t xml:space="preserve">appraisal </w:t>
      </w:r>
      <w:r w:rsidR="007A6B9E">
        <w:rPr>
          <w:rFonts w:eastAsia="Calibri" w:cs="Calibri Light"/>
        </w:rPr>
        <w:t>of</w:t>
      </w:r>
      <w:r w:rsidR="00E82549">
        <w:rPr>
          <w:rFonts w:eastAsia="Calibri" w:cs="Calibri Light"/>
        </w:rPr>
        <w:t xml:space="preserve"> whether</w:t>
      </w:r>
      <w:r w:rsidR="007A6B9E">
        <w:rPr>
          <w:rFonts w:eastAsia="Calibri" w:cs="Calibri Light"/>
        </w:rPr>
        <w:t xml:space="preserve"> </w:t>
      </w:r>
      <w:r w:rsidR="00362B26">
        <w:rPr>
          <w:rFonts w:eastAsia="Calibri" w:cs="Calibri Light"/>
        </w:rPr>
        <w:t>government</w:t>
      </w:r>
      <w:r w:rsidR="002B3B35" w:rsidRPr="002C293D">
        <w:rPr>
          <w:rFonts w:eastAsia="Calibri" w:cs="Calibri Light"/>
        </w:rPr>
        <w:t xml:space="preserve"> action</w:t>
      </w:r>
      <w:r w:rsidRPr="002C293D">
        <w:rPr>
          <w:rFonts w:eastAsia="Calibri" w:cs="Calibri Light"/>
        </w:rPr>
        <w:t xml:space="preserve"> </w:t>
      </w:r>
      <w:r w:rsidR="00E82549">
        <w:rPr>
          <w:rFonts w:eastAsia="Calibri" w:cs="Calibri Light"/>
        </w:rPr>
        <w:t>has delivered</w:t>
      </w:r>
      <w:r w:rsidR="006B4C5B">
        <w:rPr>
          <w:rFonts w:eastAsia="Calibri" w:cs="Calibri Light"/>
        </w:rPr>
        <w:t xml:space="preserve"> </w:t>
      </w:r>
      <w:r w:rsidR="00045D96">
        <w:rPr>
          <w:rFonts w:eastAsia="Calibri" w:cs="Calibri Light"/>
        </w:rPr>
        <w:t>the</w:t>
      </w:r>
      <w:r w:rsidR="00FD06C5">
        <w:rPr>
          <w:rFonts w:eastAsia="Calibri" w:cs="Calibri Light"/>
        </w:rPr>
        <w:t xml:space="preserve"> </w:t>
      </w:r>
      <w:r w:rsidR="005076EE" w:rsidRPr="002B3B35">
        <w:rPr>
          <w:rFonts w:eastAsia="Calibri" w:cs="Calibri Light"/>
        </w:rPr>
        <w:t xml:space="preserve">transformational change </w:t>
      </w:r>
      <w:r w:rsidR="005648F6">
        <w:rPr>
          <w:rFonts w:eastAsia="Calibri" w:cs="Calibri Light"/>
        </w:rPr>
        <w:t xml:space="preserve">the </w:t>
      </w:r>
      <w:r w:rsidRPr="002C293D">
        <w:rPr>
          <w:rFonts w:eastAsia="Calibri" w:cs="Calibri Light"/>
        </w:rPr>
        <w:t>Royal Commission</w:t>
      </w:r>
      <w:r w:rsidR="005648F6">
        <w:rPr>
          <w:rFonts w:eastAsia="Calibri" w:cs="Calibri Light"/>
        </w:rPr>
        <w:t xml:space="preserve"> recommended</w:t>
      </w:r>
      <w:r w:rsidR="00D80572">
        <w:rPr>
          <w:rFonts w:eastAsia="Calibri" w:cs="Calibri Light"/>
        </w:rPr>
        <w:t>, and whether it is on track to do so</w:t>
      </w:r>
      <w:r w:rsidRPr="002C293D">
        <w:rPr>
          <w:rFonts w:eastAsia="Calibri" w:cs="Calibri Light"/>
        </w:rPr>
        <w:t xml:space="preserve">. </w:t>
      </w:r>
      <w:r w:rsidR="00045D96">
        <w:rPr>
          <w:rFonts w:eastAsia="Calibri" w:cs="Calibri Light"/>
        </w:rPr>
        <w:t>It is structured around 5 questions</w:t>
      </w:r>
      <w:r w:rsidR="00CE41D6">
        <w:rPr>
          <w:rFonts w:eastAsia="Calibri" w:cs="Calibri Light"/>
        </w:rPr>
        <w:t xml:space="preserve">, which </w:t>
      </w:r>
      <w:r w:rsidR="00647DC9">
        <w:rPr>
          <w:rFonts w:eastAsia="Calibri" w:cs="Calibri Light"/>
        </w:rPr>
        <w:t>ask</w:t>
      </w:r>
      <w:r w:rsidR="00045D96">
        <w:rPr>
          <w:rFonts w:eastAsia="Calibri" w:cs="Calibri Light"/>
        </w:rPr>
        <w:t xml:space="preserve">: </w:t>
      </w:r>
    </w:p>
    <w:p w14:paraId="2935C66C" w14:textId="02D6FF37" w:rsidR="0008107A" w:rsidRDefault="0008107A" w:rsidP="0008107A">
      <w:pPr>
        <w:pStyle w:val="ListParagraph"/>
        <w:numPr>
          <w:ilvl w:val="0"/>
          <w:numId w:val="13"/>
        </w:numPr>
        <w:spacing w:before="120" w:after="120" w:line="249" w:lineRule="auto"/>
        <w:rPr>
          <w:rFonts w:eastAsia="Calibri" w:cs="Calibri Light"/>
        </w:rPr>
      </w:pPr>
      <w:r>
        <w:rPr>
          <w:rFonts w:eastAsia="Calibri" w:cs="Calibri Light"/>
        </w:rPr>
        <w:t>W</w:t>
      </w:r>
      <w:r w:rsidR="00CE41D6" w:rsidRPr="00AF586D">
        <w:rPr>
          <w:rFonts w:eastAsia="Calibri" w:cs="Calibri Light"/>
        </w:rPr>
        <w:t xml:space="preserve">hat did the Royal Commission </w:t>
      </w:r>
      <w:r w:rsidR="00647DC9" w:rsidRPr="00AF586D">
        <w:rPr>
          <w:rFonts w:eastAsia="Calibri" w:cs="Calibri Light"/>
        </w:rPr>
        <w:t>call for</w:t>
      </w:r>
      <w:r w:rsidR="00480EF8" w:rsidRPr="00AF586D">
        <w:rPr>
          <w:rFonts w:eastAsia="Calibri" w:cs="Calibri Light"/>
        </w:rPr>
        <w:t>?</w:t>
      </w:r>
      <w:r w:rsidR="00647DC9" w:rsidRPr="00AF586D">
        <w:rPr>
          <w:rFonts w:eastAsia="Calibri" w:cs="Calibri Light"/>
        </w:rPr>
        <w:t xml:space="preserve"> </w:t>
      </w:r>
    </w:p>
    <w:p w14:paraId="7703224A" w14:textId="0D098E17" w:rsidR="0008107A" w:rsidRDefault="0008107A" w:rsidP="0008107A">
      <w:pPr>
        <w:pStyle w:val="ListParagraph"/>
        <w:numPr>
          <w:ilvl w:val="0"/>
          <w:numId w:val="13"/>
        </w:numPr>
        <w:spacing w:before="120" w:after="120" w:line="249" w:lineRule="auto"/>
        <w:rPr>
          <w:rFonts w:eastAsia="Calibri" w:cs="Calibri Light"/>
        </w:rPr>
      </w:pPr>
      <w:r>
        <w:rPr>
          <w:rFonts w:eastAsia="Calibri" w:cs="Calibri Light"/>
        </w:rPr>
        <w:t>H</w:t>
      </w:r>
      <w:r w:rsidR="00647DC9" w:rsidRPr="00AF586D">
        <w:rPr>
          <w:rFonts w:eastAsia="Calibri" w:cs="Calibri Light"/>
        </w:rPr>
        <w:t>ave government reforms to 1 January 2025</w:t>
      </w:r>
      <w:r w:rsidR="0038401B" w:rsidRPr="00AF586D">
        <w:rPr>
          <w:rFonts w:eastAsia="Calibri" w:cs="Calibri Light"/>
        </w:rPr>
        <w:t xml:space="preserve"> </w:t>
      </w:r>
      <w:r w:rsidR="008B2718" w:rsidRPr="00AF586D">
        <w:rPr>
          <w:rFonts w:eastAsia="Calibri" w:cs="Calibri Light"/>
        </w:rPr>
        <w:t xml:space="preserve">already </w:t>
      </w:r>
      <w:r w:rsidR="0038401B" w:rsidRPr="00AF586D">
        <w:rPr>
          <w:rFonts w:eastAsia="Calibri" w:cs="Calibri Light"/>
        </w:rPr>
        <w:t>delivered transformation</w:t>
      </w:r>
      <w:r>
        <w:rPr>
          <w:rFonts w:eastAsia="Calibri" w:cs="Calibri Light"/>
        </w:rPr>
        <w:t>?</w:t>
      </w:r>
    </w:p>
    <w:p w14:paraId="21561855" w14:textId="429CC92C" w:rsidR="0008107A" w:rsidRDefault="0008107A" w:rsidP="0008107A">
      <w:pPr>
        <w:pStyle w:val="ListParagraph"/>
        <w:numPr>
          <w:ilvl w:val="0"/>
          <w:numId w:val="13"/>
        </w:numPr>
        <w:spacing w:before="120" w:after="120" w:line="249" w:lineRule="auto"/>
        <w:rPr>
          <w:rFonts w:eastAsia="Calibri" w:cs="Calibri Light"/>
        </w:rPr>
      </w:pPr>
      <w:r>
        <w:rPr>
          <w:rFonts w:eastAsia="Calibri" w:cs="Calibri Light"/>
        </w:rPr>
        <w:t>W</w:t>
      </w:r>
      <w:r w:rsidR="0038401B" w:rsidRPr="00AF586D">
        <w:rPr>
          <w:rFonts w:eastAsia="Calibri" w:cs="Calibri Light"/>
        </w:rPr>
        <w:t xml:space="preserve">ill </w:t>
      </w:r>
      <w:r w:rsidR="00784677" w:rsidRPr="00AF586D">
        <w:rPr>
          <w:rFonts w:eastAsia="Calibri" w:cs="Calibri Light"/>
        </w:rPr>
        <w:t xml:space="preserve">the new </w:t>
      </w:r>
      <w:r w:rsidR="00784677" w:rsidRPr="00AF586D">
        <w:rPr>
          <w:rFonts w:eastAsia="Calibri" w:cs="Calibri Light"/>
          <w:i/>
          <w:iCs/>
        </w:rPr>
        <w:t>Aged Care Act 2024</w:t>
      </w:r>
      <w:r w:rsidR="00784677" w:rsidRPr="00AF586D">
        <w:rPr>
          <w:rFonts w:eastAsia="Calibri" w:cs="Calibri Light"/>
        </w:rPr>
        <w:t xml:space="preserve"> deliver </w:t>
      </w:r>
      <w:r w:rsidR="0038401B" w:rsidRPr="00AF586D">
        <w:rPr>
          <w:rFonts w:eastAsia="Calibri" w:cs="Calibri Light"/>
        </w:rPr>
        <w:t>transformation</w:t>
      </w:r>
      <w:r>
        <w:rPr>
          <w:rFonts w:eastAsia="Calibri" w:cs="Calibri Light"/>
        </w:rPr>
        <w:t>?</w:t>
      </w:r>
    </w:p>
    <w:p w14:paraId="5916EE74" w14:textId="059256CB" w:rsidR="0008107A" w:rsidRDefault="0008107A" w:rsidP="0008107A">
      <w:pPr>
        <w:pStyle w:val="ListParagraph"/>
        <w:numPr>
          <w:ilvl w:val="0"/>
          <w:numId w:val="13"/>
        </w:numPr>
        <w:spacing w:before="120" w:after="120" w:line="249" w:lineRule="auto"/>
        <w:rPr>
          <w:rFonts w:eastAsia="Calibri" w:cs="Calibri Light"/>
        </w:rPr>
      </w:pPr>
      <w:r>
        <w:rPr>
          <w:rFonts w:eastAsia="Calibri" w:cs="Calibri Light"/>
        </w:rPr>
        <w:t>C</w:t>
      </w:r>
      <w:r w:rsidR="009D6D35" w:rsidRPr="00AF586D">
        <w:rPr>
          <w:rFonts w:eastAsia="Calibri" w:cs="Calibri Light"/>
        </w:rPr>
        <w:t xml:space="preserve">ould </w:t>
      </w:r>
      <w:r w:rsidR="00375215" w:rsidRPr="00AF586D">
        <w:rPr>
          <w:rFonts w:eastAsia="Calibri" w:cs="Calibri Light"/>
        </w:rPr>
        <w:t>some of the</w:t>
      </w:r>
      <w:r w:rsidR="009D6D35" w:rsidRPr="00AF586D">
        <w:rPr>
          <w:rFonts w:eastAsia="Calibri" w:cs="Calibri Light"/>
        </w:rPr>
        <w:t xml:space="preserve"> </w:t>
      </w:r>
      <w:r w:rsidR="00632081" w:rsidRPr="00AF586D">
        <w:rPr>
          <w:rFonts w:eastAsia="Calibri" w:cs="Calibri Light"/>
        </w:rPr>
        <w:t xml:space="preserve">reforms </w:t>
      </w:r>
      <w:r w:rsidR="008B2718" w:rsidRPr="00AF586D">
        <w:rPr>
          <w:rFonts w:eastAsia="Calibri" w:cs="Calibri Light"/>
        </w:rPr>
        <w:t>have</w:t>
      </w:r>
      <w:r w:rsidR="0022299E" w:rsidRPr="00AF586D">
        <w:rPr>
          <w:rFonts w:eastAsia="Calibri" w:cs="Calibri Light"/>
        </w:rPr>
        <w:t xml:space="preserve"> ‘</w:t>
      </w:r>
      <w:r w:rsidR="00856BF7" w:rsidRPr="00AF586D">
        <w:rPr>
          <w:rFonts w:eastAsia="Calibri" w:cs="Calibri Light"/>
        </w:rPr>
        <w:t>unintended</w:t>
      </w:r>
      <w:r w:rsidR="0022299E" w:rsidRPr="00AF586D">
        <w:rPr>
          <w:rFonts w:eastAsia="Calibri" w:cs="Calibri Light"/>
        </w:rPr>
        <w:t>’</w:t>
      </w:r>
      <w:r w:rsidR="00856BF7" w:rsidRPr="00AF586D">
        <w:rPr>
          <w:rFonts w:eastAsia="Calibri" w:cs="Calibri Light"/>
        </w:rPr>
        <w:t xml:space="preserve"> consequences</w:t>
      </w:r>
      <w:r w:rsidR="00632081" w:rsidRPr="00AF586D">
        <w:rPr>
          <w:rFonts w:eastAsia="Calibri" w:cs="Calibri Light"/>
        </w:rPr>
        <w:t xml:space="preserve"> or </w:t>
      </w:r>
      <w:r w:rsidR="00F5704C" w:rsidRPr="00AF586D">
        <w:rPr>
          <w:rFonts w:eastAsia="Calibri" w:cs="Calibri Light"/>
        </w:rPr>
        <w:t xml:space="preserve">create </w:t>
      </w:r>
      <w:r w:rsidR="00632081" w:rsidRPr="00AF586D">
        <w:rPr>
          <w:rFonts w:eastAsia="Calibri" w:cs="Calibri Light"/>
        </w:rPr>
        <w:t>perverse incentives</w:t>
      </w:r>
      <w:r>
        <w:rPr>
          <w:rFonts w:eastAsia="Calibri" w:cs="Calibri Light"/>
        </w:rPr>
        <w:t>?</w:t>
      </w:r>
    </w:p>
    <w:p w14:paraId="3905382C" w14:textId="5A1857D3" w:rsidR="00045D96" w:rsidRPr="00AF586D" w:rsidRDefault="0008107A" w:rsidP="00AF586D">
      <w:pPr>
        <w:pStyle w:val="ListParagraph"/>
        <w:numPr>
          <w:ilvl w:val="0"/>
          <w:numId w:val="13"/>
        </w:numPr>
        <w:spacing w:before="120" w:after="120" w:line="249" w:lineRule="auto"/>
        <w:rPr>
          <w:rFonts w:eastAsia="Calibri" w:cs="Calibri Light"/>
        </w:rPr>
      </w:pPr>
      <w:r>
        <w:rPr>
          <w:rFonts w:eastAsia="Calibri" w:cs="Calibri Light"/>
        </w:rPr>
        <w:t>W</w:t>
      </w:r>
      <w:r w:rsidR="00925F23" w:rsidRPr="00AF586D">
        <w:rPr>
          <w:rFonts w:eastAsia="Calibri" w:cs="Calibri Light"/>
        </w:rPr>
        <w:t xml:space="preserve">hat additional action is needed? </w:t>
      </w:r>
      <w:r w:rsidR="0022299E" w:rsidRPr="00AF586D">
        <w:rPr>
          <w:rFonts w:eastAsia="Calibri" w:cs="Calibri Light"/>
        </w:rPr>
        <w:t xml:space="preserve"> </w:t>
      </w:r>
    </w:p>
    <w:p w14:paraId="007FED2E" w14:textId="1556B9E1" w:rsidR="00A0656B" w:rsidRDefault="002B713E" w:rsidP="002B3B35">
      <w:pPr>
        <w:spacing w:after="0" w:line="249" w:lineRule="auto"/>
        <w:rPr>
          <w:rFonts w:eastAsia="Calibri" w:cs="Calibri Light"/>
        </w:rPr>
      </w:pPr>
      <w:r w:rsidRPr="002C293D">
        <w:rPr>
          <w:rFonts w:eastAsia="Calibri" w:cs="Calibri Light"/>
          <w:b/>
          <w:bCs/>
          <w:kern w:val="0"/>
          <w:szCs w:val="24"/>
          <w14:ligatures w14:val="none"/>
        </w:rPr>
        <w:t>Part</w:t>
      </w:r>
      <w:r w:rsidR="002B3B35" w:rsidRPr="002B3B35">
        <w:rPr>
          <w:rFonts w:eastAsia="Calibri" w:cs="Calibri Light"/>
          <w:b/>
          <w:bCs/>
          <w:kern w:val="0"/>
          <w:szCs w:val="24"/>
          <w14:ligatures w14:val="none"/>
        </w:rPr>
        <w:t xml:space="preserve"> </w:t>
      </w:r>
      <w:r w:rsidRPr="002C293D">
        <w:rPr>
          <w:rFonts w:eastAsia="Calibri" w:cs="Calibri Light"/>
          <w:b/>
          <w:bCs/>
          <w:kern w:val="0"/>
          <w:szCs w:val="24"/>
          <w14:ligatures w14:val="none"/>
        </w:rPr>
        <w:t>B</w:t>
      </w:r>
      <w:r w:rsidR="002B3B35" w:rsidRPr="002B3B35">
        <w:rPr>
          <w:rFonts w:eastAsia="Calibri" w:cs="Calibri Light"/>
          <w:kern w:val="0"/>
          <w:szCs w:val="24"/>
          <w14:ligatures w14:val="none"/>
        </w:rPr>
        <w:t xml:space="preserve"> </w:t>
      </w:r>
      <w:r w:rsidR="00AB054F">
        <w:rPr>
          <w:rFonts w:eastAsia="Calibri" w:cs="Calibri Light"/>
          <w:kern w:val="0"/>
          <w:szCs w:val="24"/>
          <w14:ligatures w14:val="none"/>
        </w:rPr>
        <w:t>outlines the</w:t>
      </w:r>
      <w:r w:rsidR="00F06CA1" w:rsidRPr="002B3B35">
        <w:rPr>
          <w:rFonts w:eastAsia="Calibri" w:cs="Calibri Light"/>
        </w:rPr>
        <w:t xml:space="preserve"> Australian Government’s response to each of the </w:t>
      </w:r>
      <w:r w:rsidR="00823AA4" w:rsidRPr="002B3B35">
        <w:rPr>
          <w:rFonts w:eastAsia="Calibri" w:cs="Calibri Light"/>
        </w:rPr>
        <w:t>Royal Commission</w:t>
      </w:r>
      <w:r w:rsidR="00AB7ACC">
        <w:rPr>
          <w:rFonts w:eastAsia="Calibri" w:cs="Calibri Light"/>
        </w:rPr>
        <w:t>’s</w:t>
      </w:r>
      <w:r w:rsidR="00823AA4" w:rsidRPr="002B3B35">
        <w:rPr>
          <w:rFonts w:eastAsia="Calibri" w:cs="Calibri Light"/>
        </w:rPr>
        <w:t xml:space="preserve"> </w:t>
      </w:r>
      <w:r w:rsidR="00F06CA1" w:rsidRPr="002B3B35">
        <w:rPr>
          <w:rFonts w:eastAsia="Calibri" w:cs="Calibri Light"/>
        </w:rPr>
        <w:t>148 recommendations</w:t>
      </w:r>
      <w:r w:rsidR="00AB054F">
        <w:rPr>
          <w:rFonts w:eastAsia="Calibri" w:cs="Calibri Light"/>
        </w:rPr>
        <w:t>, as advised by government agencies, and presents the</w:t>
      </w:r>
      <w:r w:rsidR="00634606">
        <w:rPr>
          <w:rFonts w:eastAsia="Calibri" w:cs="Calibri Light"/>
        </w:rPr>
        <w:t xml:space="preserve"> Inspector-General’s findings</w:t>
      </w:r>
      <w:r w:rsidR="00AB054F">
        <w:rPr>
          <w:rFonts w:eastAsia="Calibri" w:cs="Calibri Light"/>
        </w:rPr>
        <w:t xml:space="preserve"> on progress</w:t>
      </w:r>
      <w:r w:rsidR="00A0656B">
        <w:rPr>
          <w:rFonts w:eastAsia="Calibri" w:cs="Calibri Light"/>
        </w:rPr>
        <w:t>.</w:t>
      </w:r>
    </w:p>
    <w:p w14:paraId="04B61E66" w14:textId="77777777" w:rsidR="00A0656B" w:rsidRDefault="00A0656B" w:rsidP="002B3B35">
      <w:pPr>
        <w:spacing w:after="0" w:line="249" w:lineRule="auto"/>
        <w:rPr>
          <w:rFonts w:eastAsia="Calibri" w:cs="Calibri Light"/>
        </w:rPr>
      </w:pPr>
    </w:p>
    <w:p w14:paraId="70DBFA07" w14:textId="712AF335" w:rsidR="002830C5" w:rsidRPr="002C293D" w:rsidRDefault="002830C5" w:rsidP="002C293D">
      <w:pPr>
        <w:spacing w:after="0"/>
        <w:rPr>
          <w:rFonts w:eastAsia="Calibri" w:cs="Calibri Light"/>
          <w:b/>
          <w:bCs/>
          <w:color w:val="501549" w:themeColor="accent5" w:themeShade="80"/>
          <w:kern w:val="0"/>
          <w:sz w:val="24"/>
          <w:szCs w:val="28"/>
          <w14:ligatures w14:val="none"/>
        </w:rPr>
      </w:pPr>
      <w:r w:rsidRPr="002C293D">
        <w:rPr>
          <w:rFonts w:eastAsia="Calibri" w:cs="Calibri Light"/>
          <w:b/>
          <w:bCs/>
          <w:color w:val="501549" w:themeColor="accent5" w:themeShade="80"/>
          <w:kern w:val="0"/>
          <w:sz w:val="24"/>
          <w:szCs w:val="28"/>
          <w14:ligatures w14:val="none"/>
        </w:rPr>
        <w:t>Key messages in the 2025 Progress Report</w:t>
      </w:r>
    </w:p>
    <w:p w14:paraId="08CF6BB4" w14:textId="57387DC3" w:rsidR="002830C5" w:rsidRPr="002C293D" w:rsidRDefault="002830C5" w:rsidP="002830C5">
      <w:pPr>
        <w:spacing w:after="0"/>
        <w:rPr>
          <w:rFonts w:eastAsia="Calibri" w:cs="Calibri Light"/>
          <w:color w:val="501549" w:themeColor="accent5" w:themeShade="80"/>
          <w:kern w:val="0"/>
          <w:szCs w:val="24"/>
          <w:u w:val="single"/>
          <w14:ligatures w14:val="none"/>
        </w:rPr>
      </w:pPr>
      <w:r w:rsidRPr="002C293D">
        <w:rPr>
          <w:rFonts w:eastAsia="Calibri" w:cs="Calibri Light"/>
          <w:color w:val="501549" w:themeColor="accent5" w:themeShade="80"/>
          <w:kern w:val="0"/>
          <w:szCs w:val="24"/>
          <w:u w:val="single"/>
          <w14:ligatures w14:val="none"/>
        </w:rPr>
        <w:t>Successful actions</w:t>
      </w:r>
    </w:p>
    <w:p w14:paraId="2F0D7D5F" w14:textId="5E07990C" w:rsidR="00B97F12" w:rsidRDefault="00123293" w:rsidP="002830C5">
      <w:pPr>
        <w:rPr>
          <w:rFonts w:eastAsia="Calibri" w:cs="Calibri Light"/>
          <w:kern w:val="0"/>
          <w:szCs w:val="24"/>
          <w14:ligatures w14:val="none"/>
        </w:rPr>
      </w:pPr>
      <w:r>
        <w:rPr>
          <w:rFonts w:eastAsia="Calibri" w:cs="Calibri Light"/>
          <w:kern w:val="0"/>
          <w:szCs w:val="24"/>
          <w14:ligatures w14:val="none"/>
        </w:rPr>
        <w:t>The Inspector-General finds that</w:t>
      </w:r>
      <w:r w:rsidR="0016664F">
        <w:rPr>
          <w:rFonts w:eastAsia="Calibri" w:cs="Calibri Light"/>
          <w:kern w:val="0"/>
          <w:szCs w:val="24"/>
          <w14:ligatures w14:val="none"/>
        </w:rPr>
        <w:t>,</w:t>
      </w:r>
      <w:r>
        <w:rPr>
          <w:rFonts w:eastAsia="Calibri" w:cs="Calibri Light"/>
          <w:kern w:val="0"/>
          <w:szCs w:val="24"/>
          <w14:ligatures w14:val="none"/>
        </w:rPr>
        <w:t xml:space="preserve"> f</w:t>
      </w:r>
      <w:r w:rsidRPr="002C293D">
        <w:rPr>
          <w:rFonts w:eastAsia="Calibri" w:cs="Calibri Light"/>
          <w:kern w:val="0"/>
          <w:szCs w:val="24"/>
          <w14:ligatures w14:val="none"/>
        </w:rPr>
        <w:t xml:space="preserve">or </w:t>
      </w:r>
      <w:r w:rsidR="002830C5" w:rsidRPr="002C293D">
        <w:rPr>
          <w:rFonts w:eastAsia="Calibri" w:cs="Calibri Light"/>
          <w:kern w:val="0"/>
          <w:szCs w:val="24"/>
          <w14:ligatures w14:val="none"/>
        </w:rPr>
        <w:t xml:space="preserve">the most part, government reforms have strengthened the aged care system and moved the sector closer to the model of care Commissioners envisaged in their final report. </w:t>
      </w:r>
      <w:r w:rsidR="000F526C" w:rsidRPr="002C293D">
        <w:rPr>
          <w:rFonts w:eastAsia="Calibri" w:cs="Calibri Light"/>
          <w:kern w:val="0"/>
          <w:szCs w:val="24"/>
          <w14:ligatures w14:val="none"/>
        </w:rPr>
        <w:t xml:space="preserve">Successful </w:t>
      </w:r>
      <w:r w:rsidR="004E5304">
        <w:rPr>
          <w:rFonts w:eastAsia="Calibri" w:cs="Calibri Light"/>
          <w:kern w:val="0"/>
          <w:szCs w:val="24"/>
          <w14:ligatures w14:val="none"/>
        </w:rPr>
        <w:t xml:space="preserve">initiatives </w:t>
      </w:r>
      <w:r w:rsidR="00906960" w:rsidRPr="002C293D">
        <w:rPr>
          <w:rFonts w:eastAsia="Calibri" w:cs="Calibri Light"/>
          <w:kern w:val="0"/>
          <w:szCs w:val="24"/>
          <w14:ligatures w14:val="none"/>
        </w:rPr>
        <w:t>includ</w:t>
      </w:r>
      <w:r w:rsidR="000F526C">
        <w:rPr>
          <w:rFonts w:eastAsia="Calibri" w:cs="Calibri Light"/>
          <w:kern w:val="0"/>
          <w:szCs w:val="24"/>
          <w14:ligatures w14:val="none"/>
        </w:rPr>
        <w:t>e</w:t>
      </w:r>
      <w:r w:rsidR="00906960" w:rsidRPr="002C293D">
        <w:rPr>
          <w:rFonts w:eastAsia="Calibri" w:cs="Calibri Light"/>
          <w:kern w:val="0"/>
          <w:szCs w:val="24"/>
          <w14:ligatures w14:val="none"/>
        </w:rPr>
        <w:t xml:space="preserve"> </w:t>
      </w:r>
      <w:r w:rsidR="006B49DB">
        <w:rPr>
          <w:rFonts w:eastAsia="Calibri" w:cs="Calibri Light"/>
          <w:kern w:val="0"/>
          <w:szCs w:val="24"/>
          <w14:ligatures w14:val="none"/>
        </w:rPr>
        <w:t xml:space="preserve">additional funding for </w:t>
      </w:r>
      <w:r w:rsidR="002266EC">
        <w:rPr>
          <w:rFonts w:eastAsia="Calibri" w:cs="Calibri Light"/>
          <w:kern w:val="0"/>
          <w:szCs w:val="24"/>
          <w14:ligatures w14:val="none"/>
        </w:rPr>
        <w:t>residential care providers</w:t>
      </w:r>
      <w:r w:rsidR="004912B8">
        <w:rPr>
          <w:rFonts w:eastAsia="Calibri" w:cs="Calibri Light"/>
          <w:kern w:val="0"/>
          <w:szCs w:val="24"/>
          <w14:ligatures w14:val="none"/>
        </w:rPr>
        <w:t xml:space="preserve">, </w:t>
      </w:r>
      <w:r w:rsidR="00CC7482">
        <w:rPr>
          <w:rFonts w:eastAsia="Calibri" w:cs="Calibri Light"/>
          <w:kern w:val="0"/>
          <w:szCs w:val="24"/>
          <w14:ligatures w14:val="none"/>
        </w:rPr>
        <w:t xml:space="preserve">for </w:t>
      </w:r>
      <w:r w:rsidR="002266EC">
        <w:rPr>
          <w:rFonts w:eastAsia="Calibri" w:cs="Calibri Light"/>
          <w:kern w:val="0"/>
          <w:szCs w:val="24"/>
          <w14:ligatures w14:val="none"/>
        </w:rPr>
        <w:t>home care places</w:t>
      </w:r>
      <w:r w:rsidR="004912B8">
        <w:rPr>
          <w:rFonts w:eastAsia="Calibri" w:cs="Calibri Light"/>
          <w:kern w:val="0"/>
          <w:szCs w:val="24"/>
          <w14:ligatures w14:val="none"/>
        </w:rPr>
        <w:t xml:space="preserve"> and to supplement </w:t>
      </w:r>
      <w:r w:rsidR="00F74BBE">
        <w:rPr>
          <w:rFonts w:eastAsia="Calibri" w:cs="Calibri Light"/>
          <w:kern w:val="0"/>
          <w:szCs w:val="24"/>
          <w14:ligatures w14:val="none"/>
        </w:rPr>
        <w:t xml:space="preserve">workers’ wages. </w:t>
      </w:r>
      <w:r w:rsidR="003A6009">
        <w:rPr>
          <w:rFonts w:eastAsia="Calibri" w:cs="Calibri Light"/>
          <w:kern w:val="0"/>
          <w:szCs w:val="24"/>
          <w14:ligatures w14:val="none"/>
        </w:rPr>
        <w:t>The</w:t>
      </w:r>
      <w:r w:rsidR="000F526C">
        <w:rPr>
          <w:rFonts w:eastAsia="Calibri" w:cs="Calibri Light"/>
          <w:kern w:val="0"/>
          <w:szCs w:val="24"/>
          <w14:ligatures w14:val="none"/>
        </w:rPr>
        <w:t xml:space="preserve">re have also been </w:t>
      </w:r>
      <w:r w:rsidR="006462DF">
        <w:rPr>
          <w:rFonts w:eastAsia="Calibri" w:cs="Calibri Light"/>
          <w:kern w:val="0"/>
          <w:szCs w:val="24"/>
          <w14:ligatures w14:val="none"/>
        </w:rPr>
        <w:t>improvements in</w:t>
      </w:r>
      <w:r w:rsidR="00492602">
        <w:rPr>
          <w:rFonts w:eastAsia="Calibri" w:cs="Calibri Light"/>
          <w:kern w:val="0"/>
          <w:szCs w:val="24"/>
          <w14:ligatures w14:val="none"/>
        </w:rPr>
        <w:t xml:space="preserve"> </w:t>
      </w:r>
      <w:r w:rsidR="006462DF">
        <w:rPr>
          <w:rFonts w:eastAsia="Calibri" w:cs="Calibri Light"/>
          <w:kern w:val="0"/>
          <w:szCs w:val="24"/>
          <w14:ligatures w14:val="none"/>
        </w:rPr>
        <w:t>accountability and transparency</w:t>
      </w:r>
      <w:r w:rsidR="001A7990">
        <w:rPr>
          <w:rFonts w:eastAsia="Calibri" w:cs="Calibri Light"/>
          <w:kern w:val="0"/>
          <w:szCs w:val="24"/>
          <w14:ligatures w14:val="none"/>
        </w:rPr>
        <w:t xml:space="preserve">, including the </w:t>
      </w:r>
      <w:r w:rsidR="00D0273F">
        <w:rPr>
          <w:rFonts w:eastAsia="Calibri" w:cs="Calibri Light"/>
          <w:kern w:val="0"/>
          <w:szCs w:val="24"/>
          <w14:ligatures w14:val="none"/>
        </w:rPr>
        <w:t xml:space="preserve">appointment of a </w:t>
      </w:r>
      <w:r w:rsidR="00D0273F" w:rsidRPr="002C293D">
        <w:rPr>
          <w:rFonts w:eastAsia="Calibri" w:cs="Calibri Light"/>
          <w:kern w:val="0"/>
          <w:szCs w:val="24"/>
          <w14:ligatures w14:val="none"/>
        </w:rPr>
        <w:t xml:space="preserve">Complaints Commissioner </w:t>
      </w:r>
      <w:r w:rsidR="00D0273F">
        <w:rPr>
          <w:rFonts w:eastAsia="Calibri" w:cs="Calibri Light"/>
          <w:kern w:val="0"/>
          <w:szCs w:val="24"/>
          <w14:ligatures w14:val="none"/>
        </w:rPr>
        <w:t>and an Interim First Nations Aged Care Commiss</w:t>
      </w:r>
      <w:r w:rsidR="00D848C0">
        <w:rPr>
          <w:rFonts w:eastAsia="Calibri" w:cs="Calibri Light"/>
          <w:kern w:val="0"/>
          <w:szCs w:val="24"/>
          <w14:ligatures w14:val="none"/>
        </w:rPr>
        <w:t>i</w:t>
      </w:r>
      <w:r w:rsidR="00D0273F">
        <w:rPr>
          <w:rFonts w:eastAsia="Calibri" w:cs="Calibri Light"/>
          <w:kern w:val="0"/>
          <w:szCs w:val="24"/>
          <w14:ligatures w14:val="none"/>
        </w:rPr>
        <w:t>oner</w:t>
      </w:r>
      <w:r w:rsidR="00D848C0">
        <w:rPr>
          <w:rFonts w:eastAsia="Calibri" w:cs="Calibri Light"/>
          <w:kern w:val="0"/>
          <w:szCs w:val="24"/>
          <w14:ligatures w14:val="none"/>
        </w:rPr>
        <w:t xml:space="preserve">. Other notable </w:t>
      </w:r>
      <w:r w:rsidR="007A59AC">
        <w:rPr>
          <w:rFonts w:eastAsia="Calibri" w:cs="Calibri Light"/>
          <w:kern w:val="0"/>
          <w:szCs w:val="24"/>
          <w14:ligatures w14:val="none"/>
        </w:rPr>
        <w:t xml:space="preserve">measures </w:t>
      </w:r>
      <w:r w:rsidR="00D848C0">
        <w:rPr>
          <w:rFonts w:eastAsia="Calibri" w:cs="Calibri Light"/>
          <w:kern w:val="0"/>
          <w:szCs w:val="24"/>
          <w14:ligatures w14:val="none"/>
        </w:rPr>
        <w:t xml:space="preserve">include </w:t>
      </w:r>
      <w:r w:rsidR="00492602">
        <w:rPr>
          <w:rFonts w:eastAsia="Calibri" w:cs="Calibri Light"/>
          <w:kern w:val="0"/>
          <w:szCs w:val="24"/>
          <w14:ligatures w14:val="none"/>
        </w:rPr>
        <w:t>support</w:t>
      </w:r>
      <w:r w:rsidR="00D848C0">
        <w:rPr>
          <w:rFonts w:eastAsia="Calibri" w:cs="Calibri Light"/>
          <w:kern w:val="0"/>
          <w:szCs w:val="24"/>
          <w14:ligatures w14:val="none"/>
        </w:rPr>
        <w:t>s that aim to assist</w:t>
      </w:r>
      <w:r w:rsidR="00B6518B">
        <w:rPr>
          <w:rFonts w:eastAsia="Calibri" w:cs="Calibri Light"/>
          <w:kern w:val="0"/>
          <w:szCs w:val="24"/>
          <w14:ligatures w14:val="none"/>
        </w:rPr>
        <w:t xml:space="preserve"> </w:t>
      </w:r>
      <w:r w:rsidR="003732EB">
        <w:rPr>
          <w:rFonts w:eastAsia="Calibri" w:cs="Calibri Light"/>
          <w:kern w:val="0"/>
          <w:szCs w:val="24"/>
          <w14:ligatures w14:val="none"/>
        </w:rPr>
        <w:t>people navigate</w:t>
      </w:r>
      <w:r w:rsidR="00A5585A">
        <w:rPr>
          <w:rFonts w:eastAsia="Calibri" w:cs="Calibri Light"/>
          <w:kern w:val="0"/>
          <w:szCs w:val="24"/>
          <w14:ligatures w14:val="none"/>
        </w:rPr>
        <w:t xml:space="preserve"> and access</w:t>
      </w:r>
      <w:r w:rsidR="003732EB">
        <w:rPr>
          <w:rFonts w:eastAsia="Calibri" w:cs="Calibri Light"/>
          <w:kern w:val="0"/>
          <w:szCs w:val="24"/>
          <w14:ligatures w14:val="none"/>
        </w:rPr>
        <w:t xml:space="preserve"> the aged care system, </w:t>
      </w:r>
      <w:r w:rsidR="00B6518B">
        <w:rPr>
          <w:rFonts w:eastAsia="Calibri" w:cs="Calibri Light"/>
          <w:kern w:val="0"/>
          <w:szCs w:val="24"/>
          <w14:ligatures w14:val="none"/>
        </w:rPr>
        <w:t>such as star ratings and care finders</w:t>
      </w:r>
      <w:r w:rsidR="00B97F12">
        <w:rPr>
          <w:rFonts w:eastAsia="Calibri" w:cs="Calibri Light"/>
          <w:kern w:val="0"/>
          <w:szCs w:val="24"/>
          <w14:ligatures w14:val="none"/>
        </w:rPr>
        <w:t>.</w:t>
      </w:r>
    </w:p>
    <w:p w14:paraId="671ECBFE" w14:textId="09FA164D" w:rsidR="00906960" w:rsidRPr="002C293D" w:rsidRDefault="002830C5" w:rsidP="002830C5">
      <w:pPr>
        <w:rPr>
          <w:rFonts w:eastAsia="Calibri" w:cs="Calibri Light"/>
          <w:kern w:val="0"/>
          <w:szCs w:val="24"/>
          <w14:ligatures w14:val="none"/>
        </w:rPr>
      </w:pPr>
      <w:r w:rsidRPr="002C293D">
        <w:rPr>
          <w:rFonts w:eastAsia="Calibri" w:cs="Calibri Light"/>
          <w:kern w:val="0"/>
          <w:szCs w:val="24"/>
          <w14:ligatures w14:val="none"/>
        </w:rPr>
        <w:t xml:space="preserve">The </w:t>
      </w:r>
      <w:r w:rsidR="00734080">
        <w:rPr>
          <w:rFonts w:eastAsia="Calibri" w:cs="Calibri Light"/>
          <w:kern w:val="0"/>
          <w:szCs w:val="24"/>
          <w14:ligatures w14:val="none"/>
        </w:rPr>
        <w:t xml:space="preserve">most significant </w:t>
      </w:r>
      <w:r w:rsidR="009313BB" w:rsidRPr="002C293D">
        <w:rPr>
          <w:rFonts w:eastAsia="Calibri" w:cs="Calibri Light"/>
          <w:kern w:val="0"/>
          <w:szCs w:val="24"/>
          <w14:ligatures w14:val="none"/>
        </w:rPr>
        <w:t xml:space="preserve">achievement </w:t>
      </w:r>
      <w:r w:rsidR="00AE5088">
        <w:rPr>
          <w:rFonts w:eastAsia="Calibri" w:cs="Calibri Light"/>
          <w:kern w:val="0"/>
          <w:szCs w:val="24"/>
          <w14:ligatures w14:val="none"/>
        </w:rPr>
        <w:t xml:space="preserve">has been the </w:t>
      </w:r>
      <w:r w:rsidRPr="002C293D">
        <w:rPr>
          <w:rFonts w:eastAsia="Calibri" w:cs="Calibri Light"/>
          <w:kern w:val="0"/>
          <w:szCs w:val="24"/>
          <w14:ligatures w14:val="none"/>
        </w:rPr>
        <w:t xml:space="preserve">development and passage of </w:t>
      </w:r>
      <w:r w:rsidR="0099692E">
        <w:rPr>
          <w:rFonts w:eastAsia="Calibri" w:cs="Calibri Light"/>
          <w:kern w:val="0"/>
          <w:szCs w:val="24"/>
          <w14:ligatures w14:val="none"/>
        </w:rPr>
        <w:t xml:space="preserve">the </w:t>
      </w:r>
      <w:r w:rsidRPr="002C293D">
        <w:rPr>
          <w:rFonts w:eastAsia="Calibri" w:cs="Calibri Light"/>
          <w:kern w:val="0"/>
          <w:szCs w:val="24"/>
          <w14:ligatures w14:val="none"/>
        </w:rPr>
        <w:t xml:space="preserve">new </w:t>
      </w:r>
      <w:r w:rsidRPr="007A7F2D">
        <w:rPr>
          <w:rFonts w:eastAsia="Calibri" w:cs="Calibri Light"/>
          <w:i/>
          <w:iCs/>
          <w:kern w:val="0"/>
          <w:szCs w:val="24"/>
          <w14:ligatures w14:val="none"/>
        </w:rPr>
        <w:t>Aged Care Act 2024</w:t>
      </w:r>
      <w:r w:rsidR="008869AE">
        <w:rPr>
          <w:rFonts w:eastAsia="Calibri" w:cs="Calibri Light"/>
          <w:kern w:val="0"/>
          <w:szCs w:val="24"/>
          <w14:ligatures w14:val="none"/>
        </w:rPr>
        <w:t xml:space="preserve">. </w:t>
      </w:r>
      <w:r w:rsidR="00FB41FB">
        <w:rPr>
          <w:rFonts w:eastAsia="Calibri" w:cs="Calibri Light"/>
          <w:kern w:val="0"/>
          <w:szCs w:val="24"/>
          <w14:ligatures w14:val="none"/>
        </w:rPr>
        <w:t xml:space="preserve">It brings into law the </w:t>
      </w:r>
      <w:r w:rsidRPr="002C293D">
        <w:rPr>
          <w:rFonts w:eastAsia="Calibri" w:cs="Calibri Light"/>
          <w:kern w:val="0"/>
          <w:szCs w:val="24"/>
          <w14:ligatures w14:val="none"/>
        </w:rPr>
        <w:t xml:space="preserve">Royal Commission’s intent to move to a rights-based, </w:t>
      </w:r>
      <w:r w:rsidR="00986F9B">
        <w:rPr>
          <w:rFonts w:eastAsia="Calibri" w:cs="Calibri Light"/>
          <w:kern w:val="0"/>
          <w:szCs w:val="24"/>
          <w14:ligatures w14:val="none"/>
        </w:rPr>
        <w:t>person</w:t>
      </w:r>
      <w:r w:rsidRPr="002C293D">
        <w:rPr>
          <w:rFonts w:eastAsia="Calibri" w:cs="Calibri Light"/>
          <w:kern w:val="0"/>
          <w:szCs w:val="24"/>
          <w14:ligatures w14:val="none"/>
        </w:rPr>
        <w:t>-centred model of care.</w:t>
      </w:r>
      <w:r w:rsidR="00906960" w:rsidRPr="002C293D">
        <w:t xml:space="preserve"> </w:t>
      </w:r>
      <w:r w:rsidR="00906960" w:rsidRPr="002C293D">
        <w:rPr>
          <w:rFonts w:eastAsia="Calibri" w:cs="Calibri Light"/>
          <w:kern w:val="0"/>
          <w:szCs w:val="24"/>
          <w14:ligatures w14:val="none"/>
        </w:rPr>
        <w:t>The new Act includes several important features including a new statement of rights and statement of principles, and a definition of high-quality care.</w:t>
      </w:r>
      <w:r w:rsidR="00706BAA">
        <w:rPr>
          <w:rFonts w:eastAsia="Calibri" w:cs="Calibri Light"/>
          <w:kern w:val="0"/>
          <w:szCs w:val="24"/>
          <w14:ligatures w14:val="none"/>
        </w:rPr>
        <w:t xml:space="preserve"> </w:t>
      </w:r>
    </w:p>
    <w:p w14:paraId="44E8AB18" w14:textId="760EC558" w:rsidR="00BA6EAF" w:rsidRPr="002C293D" w:rsidRDefault="00BA6EAF" w:rsidP="002830C5">
      <w:pPr>
        <w:rPr>
          <w:rFonts w:eastAsia="Calibri" w:cs="Calibri Light"/>
          <w:kern w:val="0"/>
          <w:szCs w:val="24"/>
          <w14:ligatures w14:val="none"/>
        </w:rPr>
      </w:pPr>
      <w:r w:rsidRPr="002C293D">
        <w:rPr>
          <w:rFonts w:eastAsia="Calibri" w:cs="Calibri Light"/>
          <w:kern w:val="0"/>
          <w:szCs w:val="24"/>
          <w14:ligatures w14:val="none"/>
        </w:rPr>
        <w:t xml:space="preserve">Despite </w:t>
      </w:r>
      <w:r w:rsidR="005D100E">
        <w:rPr>
          <w:rFonts w:eastAsia="Calibri" w:cs="Calibri Light"/>
          <w:kern w:val="0"/>
          <w:szCs w:val="24"/>
          <w14:ligatures w14:val="none"/>
        </w:rPr>
        <w:t>these</w:t>
      </w:r>
      <w:r w:rsidR="005D100E" w:rsidRPr="002C293D">
        <w:rPr>
          <w:rFonts w:eastAsia="Calibri" w:cs="Calibri Light"/>
          <w:kern w:val="0"/>
          <w:szCs w:val="24"/>
          <w14:ligatures w14:val="none"/>
        </w:rPr>
        <w:t xml:space="preserve"> </w:t>
      </w:r>
      <w:r w:rsidR="00DD06CE">
        <w:rPr>
          <w:rFonts w:eastAsia="Calibri" w:cs="Calibri Light"/>
          <w:kern w:val="0"/>
          <w:szCs w:val="24"/>
          <w14:ligatures w14:val="none"/>
        </w:rPr>
        <w:t>positive changes</w:t>
      </w:r>
      <w:r w:rsidRPr="002C293D">
        <w:rPr>
          <w:rFonts w:eastAsia="Calibri" w:cs="Calibri Light"/>
          <w:kern w:val="0"/>
          <w:szCs w:val="24"/>
          <w14:ligatures w14:val="none"/>
        </w:rPr>
        <w:t xml:space="preserve">, the </w:t>
      </w:r>
      <w:r w:rsidR="00B56C40">
        <w:rPr>
          <w:rFonts w:eastAsia="Calibri" w:cs="Calibri Light"/>
          <w:kern w:val="0"/>
          <w:szCs w:val="24"/>
          <w14:ligatures w14:val="none"/>
        </w:rPr>
        <w:t xml:space="preserve">Inspector-General finds that </w:t>
      </w:r>
      <w:r w:rsidR="009038B5">
        <w:rPr>
          <w:rFonts w:eastAsia="Calibri" w:cs="Calibri Light"/>
          <w:kern w:val="0"/>
          <w:szCs w:val="24"/>
          <w14:ligatures w14:val="none"/>
        </w:rPr>
        <w:t>much of the reform agenda</w:t>
      </w:r>
      <w:r w:rsidR="00B60C62">
        <w:rPr>
          <w:rFonts w:eastAsia="Calibri" w:cs="Calibri Light"/>
          <w:kern w:val="0"/>
          <w:szCs w:val="24"/>
          <w14:ligatures w14:val="none"/>
        </w:rPr>
        <w:t xml:space="preserve"> has been made up of disparate and sometimes disconnected changes that target</w:t>
      </w:r>
      <w:r w:rsidR="00EF2EE9">
        <w:rPr>
          <w:rFonts w:eastAsia="Calibri" w:cs="Calibri Light"/>
          <w:kern w:val="0"/>
          <w:szCs w:val="24"/>
          <w14:ligatures w14:val="none"/>
        </w:rPr>
        <w:t xml:space="preserve"> specific issues</w:t>
      </w:r>
      <w:r w:rsidR="006C6AB4">
        <w:rPr>
          <w:rFonts w:eastAsia="Calibri" w:cs="Calibri Light"/>
          <w:kern w:val="0"/>
          <w:szCs w:val="24"/>
          <w14:ligatures w14:val="none"/>
        </w:rPr>
        <w:t>,</w:t>
      </w:r>
      <w:r w:rsidR="00EF2EE9">
        <w:rPr>
          <w:rFonts w:eastAsia="Calibri" w:cs="Calibri Light"/>
          <w:kern w:val="0"/>
          <w:szCs w:val="24"/>
          <w14:ligatures w14:val="none"/>
        </w:rPr>
        <w:t xml:space="preserve"> rather than </w:t>
      </w:r>
      <w:r w:rsidR="006C6AB4">
        <w:rPr>
          <w:rFonts w:eastAsia="Calibri" w:cs="Calibri Light"/>
          <w:kern w:val="0"/>
          <w:szCs w:val="24"/>
          <w14:ligatures w14:val="none"/>
        </w:rPr>
        <w:t xml:space="preserve">the fundamental planks for </w:t>
      </w:r>
      <w:r w:rsidR="00EF2EE9">
        <w:rPr>
          <w:rFonts w:eastAsia="Calibri" w:cs="Calibri Light"/>
          <w:kern w:val="0"/>
          <w:szCs w:val="24"/>
          <w14:ligatures w14:val="none"/>
        </w:rPr>
        <w:t>systemic change</w:t>
      </w:r>
      <w:r w:rsidR="00B56C40">
        <w:rPr>
          <w:rFonts w:eastAsia="Calibri" w:cs="Calibri Light"/>
          <w:kern w:val="0"/>
          <w:szCs w:val="24"/>
          <w14:ligatures w14:val="none"/>
        </w:rPr>
        <w:t xml:space="preserve">. There </w:t>
      </w:r>
      <w:r w:rsidR="0047648A">
        <w:rPr>
          <w:rFonts w:eastAsia="Calibri" w:cs="Calibri Light"/>
          <w:kern w:val="0"/>
          <w:szCs w:val="24"/>
          <w14:ligatures w14:val="none"/>
        </w:rPr>
        <w:t xml:space="preserve">is no evidence </w:t>
      </w:r>
      <w:r w:rsidR="008279BB">
        <w:rPr>
          <w:rFonts w:eastAsia="Calibri" w:cs="Calibri Light"/>
          <w:kern w:val="0"/>
          <w:szCs w:val="24"/>
          <w14:ligatures w14:val="none"/>
        </w:rPr>
        <w:t>that any policy logic or</w:t>
      </w:r>
      <w:r w:rsidR="008279BB" w:rsidDel="00A414C1">
        <w:rPr>
          <w:rFonts w:eastAsia="Calibri" w:cs="Calibri Light"/>
          <w:kern w:val="0"/>
          <w:szCs w:val="24"/>
          <w14:ligatures w14:val="none"/>
        </w:rPr>
        <w:t xml:space="preserve"> </w:t>
      </w:r>
      <w:r w:rsidR="00123036">
        <w:rPr>
          <w:rFonts w:eastAsia="Calibri" w:cs="Calibri Light"/>
          <w:kern w:val="0"/>
          <w:szCs w:val="24"/>
          <w14:ligatures w14:val="none"/>
        </w:rPr>
        <w:t>‘theory of change’</w:t>
      </w:r>
      <w:r w:rsidR="008279BB">
        <w:rPr>
          <w:rFonts w:eastAsia="Calibri" w:cs="Calibri Light"/>
          <w:kern w:val="0"/>
          <w:szCs w:val="24"/>
          <w14:ligatures w14:val="none"/>
        </w:rPr>
        <w:t xml:space="preserve"> approach was developed to </w:t>
      </w:r>
      <w:r w:rsidR="006B6932">
        <w:rPr>
          <w:rFonts w:eastAsia="Calibri" w:cs="Calibri Light"/>
          <w:kern w:val="0"/>
          <w:szCs w:val="24"/>
          <w14:ligatures w14:val="none"/>
        </w:rPr>
        <w:t xml:space="preserve">underpin </w:t>
      </w:r>
      <w:r w:rsidR="008279BB">
        <w:rPr>
          <w:rFonts w:eastAsia="Calibri" w:cs="Calibri Light"/>
          <w:kern w:val="0"/>
          <w:szCs w:val="24"/>
          <w14:ligatures w14:val="none"/>
        </w:rPr>
        <w:t xml:space="preserve">a roadmap </w:t>
      </w:r>
      <w:r w:rsidR="00194763">
        <w:rPr>
          <w:rFonts w:eastAsia="Calibri" w:cs="Calibri Light"/>
          <w:kern w:val="0"/>
          <w:szCs w:val="24"/>
          <w14:ligatures w14:val="none"/>
        </w:rPr>
        <w:t>to</w:t>
      </w:r>
      <w:r w:rsidR="006B6932">
        <w:rPr>
          <w:rFonts w:eastAsia="Calibri" w:cs="Calibri Light"/>
          <w:kern w:val="0"/>
          <w:szCs w:val="24"/>
          <w14:ligatures w14:val="none"/>
        </w:rPr>
        <w:t xml:space="preserve"> the change</w:t>
      </w:r>
      <w:r w:rsidR="0040088F">
        <w:rPr>
          <w:rFonts w:eastAsia="Calibri" w:cs="Calibri Light"/>
          <w:kern w:val="0"/>
          <w:szCs w:val="24"/>
          <w14:ligatures w14:val="none"/>
        </w:rPr>
        <w:t xml:space="preserve"> envisaged. </w:t>
      </w:r>
      <w:r w:rsidR="008D4C35">
        <w:rPr>
          <w:rFonts w:eastAsia="Calibri" w:cs="Calibri Light"/>
          <w:kern w:val="0"/>
          <w:szCs w:val="24"/>
          <w14:ligatures w14:val="none"/>
        </w:rPr>
        <w:t xml:space="preserve">What has been achieved </w:t>
      </w:r>
      <w:r w:rsidRPr="002C293D">
        <w:rPr>
          <w:rFonts w:eastAsia="Calibri" w:cs="Calibri Light"/>
          <w:kern w:val="0"/>
          <w:szCs w:val="24"/>
          <w14:ligatures w14:val="none"/>
        </w:rPr>
        <w:t>fall</w:t>
      </w:r>
      <w:r w:rsidR="008D4C35">
        <w:rPr>
          <w:rFonts w:eastAsia="Calibri" w:cs="Calibri Light"/>
          <w:kern w:val="0"/>
          <w:szCs w:val="24"/>
          <w14:ligatures w14:val="none"/>
        </w:rPr>
        <w:t xml:space="preserve">s </w:t>
      </w:r>
      <w:r w:rsidRPr="002C293D">
        <w:rPr>
          <w:rFonts w:eastAsia="Calibri" w:cs="Calibri Light"/>
          <w:kern w:val="0"/>
          <w:szCs w:val="24"/>
          <w14:ligatures w14:val="none"/>
        </w:rPr>
        <w:t>short of the transformation envis</w:t>
      </w:r>
      <w:r w:rsidR="008D4C35">
        <w:rPr>
          <w:rFonts w:eastAsia="Calibri" w:cs="Calibri Light"/>
          <w:kern w:val="0"/>
          <w:szCs w:val="24"/>
          <w14:ligatures w14:val="none"/>
        </w:rPr>
        <w:t xml:space="preserve">aged </w:t>
      </w:r>
      <w:r w:rsidRPr="002C293D">
        <w:rPr>
          <w:rFonts w:eastAsia="Calibri" w:cs="Calibri Light"/>
          <w:kern w:val="0"/>
          <w:szCs w:val="24"/>
          <w14:ligatures w14:val="none"/>
        </w:rPr>
        <w:t xml:space="preserve">by the Royal Commission. </w:t>
      </w:r>
    </w:p>
    <w:p w14:paraId="5162ACE6" w14:textId="54FC110F" w:rsidR="00906960" w:rsidRPr="002C293D" w:rsidRDefault="00BA6EAF" w:rsidP="00BA6EAF">
      <w:pPr>
        <w:spacing w:after="0"/>
        <w:rPr>
          <w:rFonts w:eastAsia="Calibri" w:cs="Calibri Light"/>
          <w:color w:val="501549" w:themeColor="accent5" w:themeShade="80"/>
          <w:kern w:val="0"/>
          <w:szCs w:val="24"/>
          <w:u w:val="single"/>
          <w14:ligatures w14:val="none"/>
        </w:rPr>
      </w:pPr>
      <w:r w:rsidRPr="002C293D">
        <w:rPr>
          <w:rFonts w:eastAsia="Calibri" w:cs="Calibri Light"/>
          <w:color w:val="501549" w:themeColor="accent5" w:themeShade="80"/>
          <w:kern w:val="0"/>
          <w:szCs w:val="24"/>
          <w:u w:val="single"/>
          <w14:ligatures w14:val="none"/>
        </w:rPr>
        <w:t>Risk of unintended consequences and areas of concern</w:t>
      </w:r>
    </w:p>
    <w:p w14:paraId="7064DAEA" w14:textId="2044DDCC" w:rsidR="00E977DC" w:rsidRPr="002C293D" w:rsidRDefault="00D76B1D" w:rsidP="00CF124C">
      <w:pPr>
        <w:spacing w:after="120"/>
        <w:rPr>
          <w:rFonts w:eastAsia="Calibri" w:cs="Calibri Light"/>
          <w:kern w:val="0"/>
          <w14:ligatures w14:val="none"/>
        </w:rPr>
      </w:pPr>
      <w:r w:rsidRPr="7EA472C4">
        <w:rPr>
          <w:rFonts w:eastAsia="Calibri" w:cs="Calibri Light"/>
          <w:kern w:val="0"/>
          <w14:ligatures w14:val="none"/>
        </w:rPr>
        <w:t>This report was inform</w:t>
      </w:r>
      <w:r w:rsidR="00D60801" w:rsidRPr="7EA472C4">
        <w:rPr>
          <w:rFonts w:eastAsia="Calibri" w:cs="Calibri Light"/>
          <w:kern w:val="0"/>
          <w14:ligatures w14:val="none"/>
        </w:rPr>
        <w:t xml:space="preserve">ed by broad </w:t>
      </w:r>
      <w:r w:rsidR="00BA6EAF" w:rsidRPr="7EA472C4">
        <w:rPr>
          <w:rFonts w:eastAsia="Calibri" w:cs="Calibri Light"/>
          <w:kern w:val="0"/>
          <w14:ligatures w14:val="none"/>
        </w:rPr>
        <w:t>consult</w:t>
      </w:r>
      <w:r w:rsidR="00D60801" w:rsidRPr="7EA472C4">
        <w:rPr>
          <w:rFonts w:eastAsia="Calibri" w:cs="Calibri Light"/>
          <w:kern w:val="0"/>
          <w14:ligatures w14:val="none"/>
        </w:rPr>
        <w:t>at</w:t>
      </w:r>
      <w:r w:rsidR="0023754A" w:rsidRPr="7EA472C4">
        <w:rPr>
          <w:rFonts w:eastAsia="Calibri" w:cs="Calibri Light"/>
          <w:kern w:val="0"/>
          <w14:ligatures w14:val="none"/>
        </w:rPr>
        <w:t>ion</w:t>
      </w:r>
      <w:r w:rsidR="005E45B4" w:rsidRPr="7EA472C4">
        <w:rPr>
          <w:rFonts w:eastAsia="Calibri" w:cs="Calibri Light"/>
          <w:kern w:val="0"/>
          <w14:ligatures w14:val="none"/>
        </w:rPr>
        <w:t xml:space="preserve"> with </w:t>
      </w:r>
      <w:r w:rsidR="008E0356" w:rsidRPr="7EA472C4">
        <w:rPr>
          <w:rFonts w:eastAsia="Calibri" w:cs="Calibri Light"/>
          <w:kern w:val="0"/>
          <w14:ligatures w14:val="none"/>
        </w:rPr>
        <w:t xml:space="preserve">Commonwealth </w:t>
      </w:r>
      <w:r w:rsidR="00BA6EAF" w:rsidRPr="7EA472C4">
        <w:rPr>
          <w:rFonts w:eastAsia="Calibri" w:cs="Calibri Light"/>
          <w:kern w:val="0"/>
          <w14:ligatures w14:val="none"/>
        </w:rPr>
        <w:t>agencies</w:t>
      </w:r>
      <w:r w:rsidR="0023754A" w:rsidRPr="7EA472C4">
        <w:rPr>
          <w:rFonts w:eastAsia="Calibri" w:cs="Calibri Light"/>
          <w:kern w:val="0"/>
          <w14:ligatures w14:val="none"/>
        </w:rPr>
        <w:t>,</w:t>
      </w:r>
      <w:r w:rsidR="00BA6EAF" w:rsidRPr="7EA472C4">
        <w:rPr>
          <w:rFonts w:eastAsia="Calibri" w:cs="Calibri Light"/>
          <w:kern w:val="0"/>
          <w14:ligatures w14:val="none"/>
        </w:rPr>
        <w:t xml:space="preserve"> a </w:t>
      </w:r>
      <w:r w:rsidR="0023754A" w:rsidRPr="7EA472C4">
        <w:rPr>
          <w:rFonts w:eastAsia="Calibri" w:cs="Calibri Light"/>
          <w:kern w:val="0"/>
          <w14:ligatures w14:val="none"/>
        </w:rPr>
        <w:t>wide</w:t>
      </w:r>
      <w:r w:rsidR="00BA6EAF" w:rsidRPr="7EA472C4">
        <w:rPr>
          <w:rFonts w:eastAsia="Calibri" w:cs="Calibri Light"/>
          <w:kern w:val="0"/>
          <w14:ligatures w14:val="none"/>
        </w:rPr>
        <w:t xml:space="preserve"> range of stakeholders across the aged care </w:t>
      </w:r>
      <w:r w:rsidR="002A4579" w:rsidRPr="7EA472C4">
        <w:rPr>
          <w:rFonts w:eastAsia="Calibri" w:cs="Calibri Light"/>
          <w:kern w:val="0"/>
          <w14:ligatures w14:val="none"/>
        </w:rPr>
        <w:t xml:space="preserve">system and with </w:t>
      </w:r>
      <w:r w:rsidR="009D51F2" w:rsidRPr="7EA472C4">
        <w:rPr>
          <w:rFonts w:eastAsia="Calibri" w:cs="Calibri Light"/>
          <w:kern w:val="0"/>
          <w14:ligatures w14:val="none"/>
        </w:rPr>
        <w:t xml:space="preserve">people </w:t>
      </w:r>
      <w:r w:rsidR="0088621E" w:rsidRPr="7EA472C4">
        <w:rPr>
          <w:rFonts w:eastAsia="Calibri" w:cs="Calibri Light"/>
          <w:kern w:val="0"/>
          <w14:ligatures w14:val="none"/>
        </w:rPr>
        <w:t>with</w:t>
      </w:r>
      <w:r w:rsidR="00121435" w:rsidRPr="7EA472C4">
        <w:rPr>
          <w:rFonts w:eastAsia="Calibri" w:cs="Calibri Light"/>
          <w:kern w:val="0"/>
          <w14:ligatures w14:val="none"/>
        </w:rPr>
        <w:t xml:space="preserve"> lived experience</w:t>
      </w:r>
      <w:r w:rsidR="00121435">
        <w:rPr>
          <w:rFonts w:eastAsia="Calibri" w:cs="Calibri Light"/>
          <w:kern w:val="0"/>
          <w14:ligatures w14:val="none"/>
        </w:rPr>
        <w:t xml:space="preserve"> </w:t>
      </w:r>
      <w:r w:rsidR="00121435" w:rsidRPr="7EA472C4">
        <w:rPr>
          <w:rFonts w:eastAsia="Calibri" w:cs="Calibri Light"/>
          <w:kern w:val="0"/>
          <w14:ligatures w14:val="none"/>
        </w:rPr>
        <w:t xml:space="preserve">of </w:t>
      </w:r>
      <w:r w:rsidR="00D95919">
        <w:rPr>
          <w:rFonts w:eastAsia="Calibri" w:cs="Calibri Light"/>
          <w:kern w:val="0"/>
          <w14:ligatures w14:val="none"/>
        </w:rPr>
        <w:t xml:space="preserve">the </w:t>
      </w:r>
      <w:r w:rsidR="00121435">
        <w:rPr>
          <w:rFonts w:eastAsia="Calibri" w:cs="Calibri Light"/>
          <w:kern w:val="0"/>
          <w14:ligatures w14:val="none"/>
        </w:rPr>
        <w:t>aged care</w:t>
      </w:r>
      <w:r w:rsidR="00E5704B">
        <w:rPr>
          <w:rFonts w:eastAsia="Calibri" w:cs="Calibri Light"/>
          <w:kern w:val="0"/>
          <w14:ligatures w14:val="none"/>
        </w:rPr>
        <w:t xml:space="preserve"> </w:t>
      </w:r>
      <w:r w:rsidR="00D95919">
        <w:rPr>
          <w:rFonts w:eastAsia="Calibri" w:cs="Calibri Light"/>
          <w:kern w:val="0"/>
          <w14:ligatures w14:val="none"/>
        </w:rPr>
        <w:t>system</w:t>
      </w:r>
      <w:r w:rsidR="0043356B" w:rsidRPr="7EA472C4">
        <w:rPr>
          <w:rFonts w:eastAsia="Calibri" w:cs="Calibri Light"/>
          <w:kern w:val="0"/>
          <w14:ligatures w14:val="none"/>
        </w:rPr>
        <w:t xml:space="preserve"> </w:t>
      </w:r>
      <w:r w:rsidR="00E5704B" w:rsidRPr="7EA472C4">
        <w:rPr>
          <w:rFonts w:eastAsia="Calibri" w:cs="Calibri Light"/>
          <w:kern w:val="0"/>
          <w14:ligatures w14:val="none"/>
        </w:rPr>
        <w:t xml:space="preserve">and their </w:t>
      </w:r>
      <w:proofErr w:type="spellStart"/>
      <w:r w:rsidR="00E5704B" w:rsidRPr="7EA472C4">
        <w:rPr>
          <w:rFonts w:eastAsia="Calibri" w:cs="Calibri Light"/>
          <w:kern w:val="0"/>
          <w14:ligatures w14:val="none"/>
        </w:rPr>
        <w:t>carer</w:t>
      </w:r>
      <w:r w:rsidR="00E5704B">
        <w:rPr>
          <w:rFonts w:eastAsia="Calibri" w:cs="Calibri Light"/>
          <w:kern w:val="0"/>
          <w14:ligatures w14:val="none"/>
        </w:rPr>
        <w:t>s</w:t>
      </w:r>
      <w:proofErr w:type="spellEnd"/>
      <w:r w:rsidR="00F75635" w:rsidRPr="7EA472C4">
        <w:rPr>
          <w:rFonts w:eastAsia="Calibri" w:cs="Calibri Light"/>
          <w:kern w:val="0"/>
          <w14:ligatures w14:val="none"/>
        </w:rPr>
        <w:t xml:space="preserve">. </w:t>
      </w:r>
      <w:r w:rsidR="008A6F10" w:rsidRPr="7EA472C4">
        <w:rPr>
          <w:rFonts w:eastAsia="Calibri" w:cs="Calibri Light"/>
          <w:kern w:val="0"/>
          <w14:ligatures w14:val="none"/>
        </w:rPr>
        <w:t>Their views have helped</w:t>
      </w:r>
      <w:r w:rsidR="00010E8D" w:rsidRPr="7EA472C4">
        <w:rPr>
          <w:rFonts w:eastAsia="Calibri" w:cs="Calibri Light"/>
          <w:kern w:val="0"/>
          <w14:ligatures w14:val="none"/>
        </w:rPr>
        <w:t xml:space="preserve"> </w:t>
      </w:r>
      <w:r w:rsidR="00BA6EAF" w:rsidRPr="7EA472C4">
        <w:rPr>
          <w:rFonts w:eastAsia="Calibri" w:cs="Calibri Light"/>
          <w:kern w:val="0"/>
          <w14:ligatures w14:val="none"/>
        </w:rPr>
        <w:t xml:space="preserve">the </w:t>
      </w:r>
      <w:r w:rsidR="003122D0" w:rsidRPr="7EA472C4">
        <w:rPr>
          <w:rFonts w:eastAsia="Calibri" w:cs="Calibri Light"/>
          <w:kern w:val="0"/>
          <w14:ligatures w14:val="none"/>
        </w:rPr>
        <w:t xml:space="preserve">Inspector-General </w:t>
      </w:r>
      <w:r w:rsidR="00B973D7" w:rsidRPr="7EA472C4">
        <w:rPr>
          <w:rFonts w:eastAsia="Calibri" w:cs="Calibri Light"/>
          <w:kern w:val="0"/>
          <w14:ligatures w14:val="none"/>
        </w:rPr>
        <w:t>identif</w:t>
      </w:r>
      <w:r w:rsidR="008A6F10" w:rsidRPr="7EA472C4">
        <w:rPr>
          <w:rFonts w:eastAsia="Calibri" w:cs="Calibri Light"/>
          <w:kern w:val="0"/>
          <w14:ligatures w14:val="none"/>
        </w:rPr>
        <w:t>y</w:t>
      </w:r>
      <w:r w:rsidR="00B973D7" w:rsidRPr="7EA472C4">
        <w:rPr>
          <w:rFonts w:eastAsia="Calibri" w:cs="Calibri Light"/>
          <w:kern w:val="0"/>
          <w14:ligatures w14:val="none"/>
        </w:rPr>
        <w:t xml:space="preserve"> a range of </w:t>
      </w:r>
      <w:r w:rsidR="00BA6EAF" w:rsidRPr="7EA472C4">
        <w:rPr>
          <w:rFonts w:eastAsia="Calibri" w:cs="Calibri Light"/>
          <w:kern w:val="0"/>
          <w14:ligatures w14:val="none"/>
        </w:rPr>
        <w:t>reform actions requir</w:t>
      </w:r>
      <w:r w:rsidR="00001C1A" w:rsidRPr="7EA472C4">
        <w:rPr>
          <w:rFonts w:eastAsia="Calibri" w:cs="Calibri Light"/>
          <w:kern w:val="0"/>
          <w14:ligatures w14:val="none"/>
        </w:rPr>
        <w:t>ing</w:t>
      </w:r>
      <w:r w:rsidR="00BA6EAF" w:rsidRPr="7EA472C4">
        <w:rPr>
          <w:rFonts w:eastAsia="Calibri" w:cs="Calibri Light"/>
          <w:kern w:val="0"/>
          <w14:ligatures w14:val="none"/>
        </w:rPr>
        <w:t xml:space="preserve"> ongoing monitoring</w:t>
      </w:r>
      <w:r w:rsidR="00001C1A" w:rsidRPr="7EA472C4">
        <w:rPr>
          <w:rFonts w:eastAsia="Calibri" w:cs="Calibri Light"/>
          <w:kern w:val="0"/>
          <w14:ligatures w14:val="none"/>
        </w:rPr>
        <w:t>,</w:t>
      </w:r>
      <w:r w:rsidR="00BA6EAF" w:rsidRPr="7EA472C4">
        <w:rPr>
          <w:rFonts w:eastAsia="Calibri" w:cs="Calibri Light"/>
          <w:kern w:val="0"/>
          <w14:ligatures w14:val="none"/>
        </w:rPr>
        <w:t xml:space="preserve"> and </w:t>
      </w:r>
      <w:r w:rsidR="00942244" w:rsidRPr="7EA472C4">
        <w:rPr>
          <w:rFonts w:eastAsia="Calibri" w:cs="Calibri Light"/>
          <w:kern w:val="0"/>
          <w14:ligatures w14:val="none"/>
        </w:rPr>
        <w:t xml:space="preserve">potentially </w:t>
      </w:r>
      <w:r w:rsidR="00BA6EAF" w:rsidRPr="7EA472C4">
        <w:rPr>
          <w:rFonts w:eastAsia="Calibri" w:cs="Calibri Light"/>
          <w:kern w:val="0"/>
          <w14:ligatures w14:val="none"/>
        </w:rPr>
        <w:t>intervention</w:t>
      </w:r>
      <w:r w:rsidR="00001C1A" w:rsidRPr="7EA472C4">
        <w:rPr>
          <w:rFonts w:eastAsia="Calibri" w:cs="Calibri Light"/>
          <w:kern w:val="0"/>
          <w14:ligatures w14:val="none"/>
        </w:rPr>
        <w:t>,</w:t>
      </w:r>
      <w:r w:rsidR="00BA6EAF" w:rsidRPr="7EA472C4">
        <w:rPr>
          <w:rFonts w:eastAsia="Calibri" w:cs="Calibri Light"/>
          <w:kern w:val="0"/>
          <w14:ligatures w14:val="none"/>
        </w:rPr>
        <w:t xml:space="preserve"> </w:t>
      </w:r>
      <w:r w:rsidR="00E977DC" w:rsidRPr="7EA472C4">
        <w:rPr>
          <w:rFonts w:eastAsia="Calibri" w:cs="Calibri Light"/>
          <w:kern w:val="0"/>
          <w14:ligatures w14:val="none"/>
        </w:rPr>
        <w:t xml:space="preserve">to </w:t>
      </w:r>
      <w:r w:rsidR="00F353B1" w:rsidRPr="7EA472C4">
        <w:rPr>
          <w:rFonts w:eastAsia="Calibri" w:cs="Calibri Light"/>
          <w:kern w:val="0"/>
          <w14:ligatures w14:val="none"/>
        </w:rPr>
        <w:t xml:space="preserve">guard against poor </w:t>
      </w:r>
      <w:r w:rsidR="00E977DC" w:rsidRPr="7EA472C4">
        <w:rPr>
          <w:rFonts w:eastAsia="Calibri" w:cs="Calibri Light"/>
          <w:kern w:val="0"/>
          <w14:ligatures w14:val="none"/>
        </w:rPr>
        <w:t xml:space="preserve">outcomes for all older Australians. </w:t>
      </w:r>
    </w:p>
    <w:p w14:paraId="77B985CB" w14:textId="648D5E50" w:rsidR="00E977DC" w:rsidRPr="002C293D" w:rsidRDefault="00E977DC" w:rsidP="00E977DC">
      <w:pPr>
        <w:pStyle w:val="ListParagraph"/>
        <w:numPr>
          <w:ilvl w:val="0"/>
          <w:numId w:val="3"/>
        </w:numPr>
        <w:spacing w:after="0"/>
        <w:rPr>
          <w:rFonts w:eastAsia="Calibri" w:cs="Calibri Light"/>
          <w:color w:val="501549" w:themeColor="accent5" w:themeShade="80"/>
          <w:kern w:val="0"/>
          <w:szCs w:val="24"/>
          <w14:ligatures w14:val="none"/>
        </w:rPr>
      </w:pPr>
      <w:r w:rsidRPr="002C293D">
        <w:rPr>
          <w:rFonts w:eastAsia="Calibri" w:cs="Calibri Light"/>
          <w:color w:val="501549" w:themeColor="accent5" w:themeShade="80"/>
          <w:kern w:val="0"/>
          <w:szCs w:val="24"/>
          <w14:ligatures w14:val="none"/>
        </w:rPr>
        <w:t>Approach to rights</w:t>
      </w:r>
    </w:p>
    <w:p w14:paraId="10765D29" w14:textId="53C56886" w:rsidR="007841FB" w:rsidRDefault="002C293D" w:rsidP="00CF124C">
      <w:pPr>
        <w:spacing w:after="120"/>
        <w:rPr>
          <w:rFonts w:eastAsia="Calibri" w:cs="Calibri Light"/>
          <w:kern w:val="0"/>
          <w:szCs w:val="24"/>
          <w14:ligatures w14:val="none"/>
        </w:rPr>
      </w:pPr>
      <w:r w:rsidRPr="002C293D">
        <w:rPr>
          <w:rFonts w:eastAsia="Calibri" w:cs="Calibri Light"/>
          <w:kern w:val="0"/>
          <w:szCs w:val="24"/>
          <w14:ligatures w14:val="none"/>
        </w:rPr>
        <w:t xml:space="preserve">The </w:t>
      </w:r>
      <w:r w:rsidR="00BA3D79">
        <w:rPr>
          <w:rFonts w:eastAsia="Calibri" w:cs="Calibri Light"/>
          <w:kern w:val="0"/>
          <w:szCs w:val="24"/>
          <w14:ligatures w14:val="none"/>
        </w:rPr>
        <w:t>evidence obtained from consultation across the report process leave</w:t>
      </w:r>
      <w:r w:rsidR="00E144A8">
        <w:rPr>
          <w:rFonts w:eastAsia="Calibri" w:cs="Calibri Light"/>
          <w:kern w:val="0"/>
          <w:szCs w:val="24"/>
          <w14:ligatures w14:val="none"/>
        </w:rPr>
        <w:t>s some serious questions about</w:t>
      </w:r>
      <w:r w:rsidR="00F8571D">
        <w:rPr>
          <w:rFonts w:eastAsia="Calibri" w:cs="Calibri Light"/>
          <w:kern w:val="0"/>
          <w:szCs w:val="24"/>
          <w14:ligatures w14:val="none"/>
        </w:rPr>
        <w:t xml:space="preserve"> the sufficiency and scope </w:t>
      </w:r>
      <w:r w:rsidR="00771313">
        <w:rPr>
          <w:rFonts w:eastAsia="Calibri" w:cs="Calibri Light"/>
          <w:kern w:val="0"/>
          <w:szCs w:val="24"/>
          <w14:ligatures w14:val="none"/>
        </w:rPr>
        <w:t>of</w:t>
      </w:r>
      <w:r w:rsidR="00B03269">
        <w:rPr>
          <w:rFonts w:eastAsia="Calibri" w:cs="Calibri Light"/>
          <w:kern w:val="0"/>
          <w:szCs w:val="24"/>
          <w14:ligatures w14:val="none"/>
        </w:rPr>
        <w:t xml:space="preserve"> </w:t>
      </w:r>
      <w:r w:rsidR="00E144A8">
        <w:rPr>
          <w:rFonts w:eastAsia="Calibri" w:cs="Calibri Light"/>
          <w:kern w:val="0"/>
          <w:szCs w:val="24"/>
          <w14:ligatures w14:val="none"/>
        </w:rPr>
        <w:t xml:space="preserve">mechanisms to </w:t>
      </w:r>
      <w:r w:rsidR="005F5595">
        <w:rPr>
          <w:rFonts w:eastAsia="Calibri" w:cs="Calibri Light"/>
          <w:kern w:val="0"/>
          <w:szCs w:val="24"/>
          <w14:ligatures w14:val="none"/>
        </w:rPr>
        <w:t>support</w:t>
      </w:r>
      <w:r w:rsidR="00771313">
        <w:rPr>
          <w:rFonts w:eastAsia="Calibri" w:cs="Calibri Light"/>
          <w:kern w:val="0"/>
          <w:szCs w:val="24"/>
          <w14:ligatures w14:val="none"/>
        </w:rPr>
        <w:t xml:space="preserve"> the</w:t>
      </w:r>
      <w:r w:rsidR="00F35F44">
        <w:rPr>
          <w:rFonts w:eastAsia="Calibri" w:cs="Calibri Light"/>
          <w:kern w:val="0"/>
          <w:szCs w:val="24"/>
          <w14:ligatures w14:val="none"/>
        </w:rPr>
        <w:t xml:space="preserve"> </w:t>
      </w:r>
      <w:r w:rsidR="00BA3D79">
        <w:rPr>
          <w:rFonts w:eastAsia="Calibri" w:cs="Calibri Light"/>
          <w:kern w:val="0"/>
          <w:szCs w:val="24"/>
          <w14:ligatures w14:val="none"/>
        </w:rPr>
        <w:t xml:space="preserve">delivery </w:t>
      </w:r>
      <w:r w:rsidR="00F35F44">
        <w:rPr>
          <w:rFonts w:eastAsia="Calibri" w:cs="Calibri Light"/>
          <w:kern w:val="0"/>
          <w:szCs w:val="24"/>
          <w14:ligatures w14:val="none"/>
        </w:rPr>
        <w:t>of rights-based, person-centred</w:t>
      </w:r>
      <w:r w:rsidR="0041768D">
        <w:rPr>
          <w:rFonts w:eastAsia="Calibri" w:cs="Calibri Light"/>
          <w:kern w:val="0"/>
          <w:szCs w:val="24"/>
          <w14:ligatures w14:val="none"/>
        </w:rPr>
        <w:t xml:space="preserve">, </w:t>
      </w:r>
      <w:proofErr w:type="gramStart"/>
      <w:r w:rsidR="0041768D">
        <w:rPr>
          <w:rFonts w:eastAsia="Calibri" w:cs="Calibri Light"/>
          <w:kern w:val="0"/>
          <w:szCs w:val="24"/>
          <w14:ligatures w14:val="none"/>
        </w:rPr>
        <w:t>high quality</w:t>
      </w:r>
      <w:proofErr w:type="gramEnd"/>
      <w:r w:rsidR="00F35F44">
        <w:rPr>
          <w:rFonts w:eastAsia="Calibri" w:cs="Calibri Light"/>
          <w:kern w:val="0"/>
          <w:szCs w:val="24"/>
          <w14:ligatures w14:val="none"/>
        </w:rPr>
        <w:t xml:space="preserve"> care. </w:t>
      </w:r>
      <w:r w:rsidR="00381C31">
        <w:rPr>
          <w:rFonts w:eastAsia="Calibri" w:cs="Calibri Light"/>
          <w:kern w:val="0"/>
          <w:szCs w:val="24"/>
          <w14:ligatures w14:val="none"/>
        </w:rPr>
        <w:t>Th</w:t>
      </w:r>
      <w:r w:rsidR="00BD7FAF">
        <w:rPr>
          <w:rFonts w:eastAsia="Calibri" w:cs="Calibri Light"/>
          <w:kern w:val="0"/>
          <w:szCs w:val="24"/>
          <w14:ligatures w14:val="none"/>
        </w:rPr>
        <w:t xml:space="preserve">is is an area the </w:t>
      </w:r>
      <w:r w:rsidR="00381C31">
        <w:rPr>
          <w:rFonts w:eastAsia="Calibri" w:cs="Calibri Light"/>
          <w:kern w:val="0"/>
          <w:szCs w:val="24"/>
          <w14:ligatures w14:val="none"/>
        </w:rPr>
        <w:t xml:space="preserve">Inspector-General intends to closely monitor </w:t>
      </w:r>
      <w:r w:rsidR="00BD7FAF">
        <w:rPr>
          <w:rFonts w:eastAsia="Calibri" w:cs="Calibri Light"/>
          <w:kern w:val="0"/>
          <w:szCs w:val="24"/>
          <w14:ligatures w14:val="none"/>
        </w:rPr>
        <w:t>over the next reporting period.</w:t>
      </w:r>
    </w:p>
    <w:p w14:paraId="76CA0B9F" w14:textId="77777777" w:rsidR="00905A39" w:rsidRDefault="00905A39" w:rsidP="00CF124C">
      <w:pPr>
        <w:spacing w:after="120"/>
        <w:rPr>
          <w:rFonts w:eastAsia="Calibri" w:cs="Calibri Light"/>
          <w:kern w:val="0"/>
          <w:szCs w:val="24"/>
          <w14:ligatures w14:val="none"/>
        </w:rPr>
      </w:pPr>
    </w:p>
    <w:p w14:paraId="3B4799A2" w14:textId="37B34091" w:rsidR="00E977DC" w:rsidRPr="00047066" w:rsidRDefault="00B33B33" w:rsidP="00E977DC">
      <w:pPr>
        <w:pStyle w:val="ListParagraph"/>
        <w:numPr>
          <w:ilvl w:val="0"/>
          <w:numId w:val="3"/>
        </w:numPr>
        <w:spacing w:after="0"/>
        <w:rPr>
          <w:rFonts w:eastAsia="Calibri" w:cs="Calibri Light"/>
          <w:color w:val="501549" w:themeColor="accent5" w:themeShade="80"/>
          <w:kern w:val="0"/>
          <w:szCs w:val="24"/>
          <w14:ligatures w14:val="none"/>
        </w:rPr>
      </w:pPr>
      <w:r>
        <w:rPr>
          <w:rFonts w:eastAsia="Calibri" w:cs="Calibri Light"/>
          <w:color w:val="501549" w:themeColor="accent5" w:themeShade="80"/>
          <w:kern w:val="0"/>
          <w:szCs w:val="24"/>
          <w14:ligatures w14:val="none"/>
        </w:rPr>
        <w:lastRenderedPageBreak/>
        <w:t>Introduction of c</w:t>
      </w:r>
      <w:r w:rsidR="00E977DC" w:rsidRPr="002C293D">
        <w:rPr>
          <w:rFonts w:eastAsia="Calibri" w:cs="Calibri Light"/>
          <w:color w:val="501549" w:themeColor="accent5" w:themeShade="80"/>
          <w:kern w:val="0"/>
          <w:szCs w:val="24"/>
          <w14:ligatures w14:val="none"/>
        </w:rPr>
        <w:t>o-payments</w:t>
      </w:r>
    </w:p>
    <w:p w14:paraId="7C49FDD2" w14:textId="2CD56A6D" w:rsidR="00CF6DA2" w:rsidRDefault="00047066" w:rsidP="00056B41">
      <w:r w:rsidRPr="00DE27A7">
        <w:t xml:space="preserve">The </w:t>
      </w:r>
      <w:r w:rsidR="00B33B33">
        <w:t xml:space="preserve">new Act will </w:t>
      </w:r>
      <w:r w:rsidR="0066656F">
        <w:t xml:space="preserve">introduce </w:t>
      </w:r>
      <w:r w:rsidRPr="00DE27A7">
        <w:t xml:space="preserve">co-payments </w:t>
      </w:r>
      <w:r w:rsidR="0066656F">
        <w:t xml:space="preserve">for ‘non-clinical’ care </w:t>
      </w:r>
      <w:r w:rsidR="00EF7C01">
        <w:t xml:space="preserve">for </w:t>
      </w:r>
      <w:r w:rsidR="00065BF6">
        <w:t xml:space="preserve">people </w:t>
      </w:r>
      <w:r w:rsidR="00EF7C01">
        <w:t xml:space="preserve">receiving </w:t>
      </w:r>
      <w:r w:rsidR="00065BF6">
        <w:t xml:space="preserve">Support at Home. This </w:t>
      </w:r>
      <w:r w:rsidRPr="00DE27A7">
        <w:t>is inconsistent with the Royal Commission’s vision of a rights-based</w:t>
      </w:r>
      <w:r w:rsidR="00FF37F8">
        <w:t xml:space="preserve"> </w:t>
      </w:r>
      <w:r w:rsidRPr="00DE27A7">
        <w:t xml:space="preserve">system </w:t>
      </w:r>
      <w:r w:rsidR="00EF7C01">
        <w:t>that</w:t>
      </w:r>
      <w:r w:rsidRPr="00DE27A7">
        <w:t xml:space="preserve"> provides a universal entitlement to high</w:t>
      </w:r>
      <w:r w:rsidR="008741C0">
        <w:t xml:space="preserve"> </w:t>
      </w:r>
      <w:r w:rsidRPr="00DE27A7">
        <w:t>quality care</w:t>
      </w:r>
      <w:r>
        <w:t xml:space="preserve">. </w:t>
      </w:r>
      <w:r w:rsidR="00707152">
        <w:t xml:space="preserve">It also leaves open the question of how </w:t>
      </w:r>
      <w:r w:rsidR="008C1E15">
        <w:t>people</w:t>
      </w:r>
      <w:r w:rsidR="00011613">
        <w:t xml:space="preserve">s’ </w:t>
      </w:r>
      <w:r w:rsidR="00D640D9">
        <w:t xml:space="preserve">access to </w:t>
      </w:r>
      <w:r w:rsidR="00707152">
        <w:t xml:space="preserve">the ‘non-clinical’ aspects of </w:t>
      </w:r>
      <w:proofErr w:type="gramStart"/>
      <w:r w:rsidR="00707152">
        <w:t>high quality</w:t>
      </w:r>
      <w:proofErr w:type="gramEnd"/>
      <w:r w:rsidR="00707152">
        <w:t xml:space="preserve"> care</w:t>
      </w:r>
      <w:r w:rsidR="00BD06DC">
        <w:t xml:space="preserve">, which indeed form the </w:t>
      </w:r>
      <w:r w:rsidR="00FB5D2F">
        <w:t>substance of its definition under the Act</w:t>
      </w:r>
      <w:r w:rsidR="00707152">
        <w:t xml:space="preserve"> </w:t>
      </w:r>
      <w:r w:rsidR="007575D4">
        <w:t xml:space="preserve">(such as </w:t>
      </w:r>
      <w:r w:rsidR="007245E1">
        <w:t xml:space="preserve">community </w:t>
      </w:r>
      <w:r w:rsidR="00FB5D2F">
        <w:t>connectedness</w:t>
      </w:r>
      <w:r w:rsidR="006E25A1">
        <w:t>, social and emotional wellbeing, connection to the environment</w:t>
      </w:r>
      <w:r w:rsidR="00BD06DC">
        <w:t xml:space="preserve">, self-determination) </w:t>
      </w:r>
      <w:r w:rsidR="00707152">
        <w:t xml:space="preserve">will be </w:t>
      </w:r>
      <w:r w:rsidR="003B5BF3">
        <w:t xml:space="preserve">ensured </w:t>
      </w:r>
      <w:r w:rsidR="00CB0521">
        <w:t>w</w:t>
      </w:r>
      <w:r w:rsidR="00A61426">
        <w:t>hen</w:t>
      </w:r>
      <w:r w:rsidR="00F272BD">
        <w:t xml:space="preserve"> they sit</w:t>
      </w:r>
      <w:r w:rsidR="00707152">
        <w:t xml:space="preserve"> outside of </w:t>
      </w:r>
      <w:r w:rsidR="001C4A8A">
        <w:t xml:space="preserve">what is </w:t>
      </w:r>
      <w:r w:rsidR="00F272BD">
        <w:t xml:space="preserve">fully </w:t>
      </w:r>
      <w:r w:rsidR="00707152">
        <w:t>fund</w:t>
      </w:r>
      <w:r w:rsidR="001C4A8A">
        <w:t>ed</w:t>
      </w:r>
      <w:r w:rsidR="00707152">
        <w:t>.</w:t>
      </w:r>
    </w:p>
    <w:p w14:paraId="0C9B47D8" w14:textId="56CAE28B" w:rsidR="00047066" w:rsidRPr="00CF6DA2" w:rsidRDefault="001537C1" w:rsidP="00CF124C">
      <w:pPr>
        <w:spacing w:after="120"/>
      </w:pPr>
      <w:r>
        <w:t xml:space="preserve">Indeed, </w:t>
      </w:r>
      <w:r w:rsidR="00FB5D2F">
        <w:t>c</w:t>
      </w:r>
      <w:r w:rsidR="00F0721B">
        <w:t xml:space="preserve">o-payments could see </w:t>
      </w:r>
      <w:r w:rsidR="00CF6DA2" w:rsidRPr="00CF6DA2">
        <w:t>vulnerable older people forgo</w:t>
      </w:r>
      <w:r w:rsidR="00F0721B">
        <w:t>ing</w:t>
      </w:r>
      <w:r w:rsidR="00CF6DA2" w:rsidRPr="00CF6DA2">
        <w:t xml:space="preserve"> </w:t>
      </w:r>
      <w:r w:rsidR="00CF6DA2">
        <w:t xml:space="preserve">essential personal </w:t>
      </w:r>
      <w:r w:rsidR="00CF6DA2" w:rsidRPr="00CF6DA2">
        <w:t xml:space="preserve">care </w:t>
      </w:r>
      <w:r w:rsidR="00D26F33">
        <w:t>due to the</w:t>
      </w:r>
      <w:r w:rsidR="00CF6DA2" w:rsidRPr="00CF6DA2">
        <w:t xml:space="preserve"> </w:t>
      </w:r>
      <w:r w:rsidR="00D26F33">
        <w:t>cost, or perceived cost</w:t>
      </w:r>
      <w:r w:rsidR="003E6C9C">
        <w:t>,</w:t>
      </w:r>
      <w:r w:rsidR="00CF6DA2" w:rsidRPr="00CF6DA2">
        <w:t xml:space="preserve"> </w:t>
      </w:r>
      <w:r w:rsidR="00F9184A">
        <w:t>potential</w:t>
      </w:r>
      <w:r w:rsidR="00C32BB4">
        <w:t>ly</w:t>
      </w:r>
      <w:r w:rsidR="00F9184A">
        <w:t xml:space="preserve"> </w:t>
      </w:r>
      <w:r w:rsidR="00CF6DA2" w:rsidRPr="00DE27A7">
        <w:t>hasten</w:t>
      </w:r>
      <w:r w:rsidR="00C32BB4">
        <w:t>ing</w:t>
      </w:r>
      <w:r w:rsidR="00CF6DA2" w:rsidRPr="00DE27A7">
        <w:t xml:space="preserve"> </w:t>
      </w:r>
      <w:r w:rsidR="003E6C9C">
        <w:t xml:space="preserve">their </w:t>
      </w:r>
      <w:r w:rsidR="00CF6DA2" w:rsidRPr="00DE27A7">
        <w:t>entry into residential aged car</w:t>
      </w:r>
      <w:r w:rsidR="00CF6DA2">
        <w:t>e</w:t>
      </w:r>
      <w:r w:rsidR="003E6C9C">
        <w:t xml:space="preserve">. </w:t>
      </w:r>
      <w:r w:rsidR="00CA1D7B">
        <w:t>This i</w:t>
      </w:r>
      <w:r w:rsidR="00151452">
        <w:t xml:space="preserve">s </w:t>
      </w:r>
      <w:r w:rsidR="00733039">
        <w:t>inimical to</w:t>
      </w:r>
      <w:r w:rsidR="00151452">
        <w:t xml:space="preserve"> a rights-based model of care and </w:t>
      </w:r>
      <w:r w:rsidR="00AC63F1">
        <w:t xml:space="preserve">has the potential to </w:t>
      </w:r>
      <w:r w:rsidR="00CF6DA2">
        <w:t>c</w:t>
      </w:r>
      <w:r w:rsidR="00CF6DA2" w:rsidRPr="00DE27A7">
        <w:t>ome at a greater cost to taxpayers</w:t>
      </w:r>
      <w:r w:rsidR="00CF6DA2">
        <w:t xml:space="preserve">. </w:t>
      </w:r>
      <w:r w:rsidR="00FA3C59">
        <w:t>Most importantly, it is contrary to the wishes of the vast majority of older Australians who w</w:t>
      </w:r>
      <w:r w:rsidR="005C381A">
        <w:t xml:space="preserve">ant </w:t>
      </w:r>
      <w:r w:rsidR="00FA3C59">
        <w:t xml:space="preserve">to continue </w:t>
      </w:r>
      <w:r w:rsidR="00151F35">
        <w:t>ageing in place</w:t>
      </w:r>
      <w:r w:rsidR="00FA3C59">
        <w:t>.</w:t>
      </w:r>
    </w:p>
    <w:p w14:paraId="369D1583" w14:textId="70B6C921" w:rsidR="00E977DC" w:rsidRPr="00CF6DA2" w:rsidRDefault="00E977DC" w:rsidP="00E977DC">
      <w:pPr>
        <w:pStyle w:val="ListParagraph"/>
        <w:numPr>
          <w:ilvl w:val="0"/>
          <w:numId w:val="3"/>
        </w:numPr>
        <w:spacing w:after="0"/>
        <w:rPr>
          <w:rFonts w:eastAsia="Calibri" w:cs="Calibri Light"/>
          <w:color w:val="501549" w:themeColor="accent5" w:themeShade="80"/>
          <w:kern w:val="0"/>
          <w:szCs w:val="24"/>
          <w14:ligatures w14:val="none"/>
        </w:rPr>
      </w:pPr>
      <w:r w:rsidRPr="00CF6DA2">
        <w:rPr>
          <w:rFonts w:eastAsia="Calibri" w:cs="Calibri Light"/>
          <w:color w:val="501549" w:themeColor="accent5" w:themeShade="80"/>
          <w:kern w:val="0"/>
          <w:szCs w:val="24"/>
          <w14:ligatures w14:val="none"/>
        </w:rPr>
        <w:t>Equity and access for Aboriginal and Torres Strait Islander elders and communities</w:t>
      </w:r>
    </w:p>
    <w:p w14:paraId="7EE12809" w14:textId="41DDEB09" w:rsidR="00562DD0" w:rsidRDefault="00BE24CA" w:rsidP="00B51E1F">
      <w:r>
        <w:rPr>
          <w:rFonts w:eastAsia="Calibri" w:cs="Calibri Light"/>
          <w:kern w:val="0"/>
          <w:szCs w:val="24"/>
          <w14:ligatures w14:val="none"/>
        </w:rPr>
        <w:t xml:space="preserve">The </w:t>
      </w:r>
      <w:r w:rsidR="00663909">
        <w:rPr>
          <w:rFonts w:eastAsia="Calibri" w:cs="Calibri Light"/>
          <w:kern w:val="0"/>
          <w:szCs w:val="24"/>
          <w14:ligatures w14:val="none"/>
        </w:rPr>
        <w:t xml:space="preserve">commencement of the new Act </w:t>
      </w:r>
      <w:r>
        <w:rPr>
          <w:rFonts w:eastAsia="Calibri" w:cs="Calibri Light"/>
          <w:kern w:val="0"/>
          <w:szCs w:val="24"/>
          <w14:ligatures w14:val="none"/>
        </w:rPr>
        <w:t xml:space="preserve">will see </w:t>
      </w:r>
      <w:r w:rsidR="00663909">
        <w:rPr>
          <w:rFonts w:eastAsia="Calibri" w:cs="Calibri Light"/>
          <w:kern w:val="0"/>
          <w:szCs w:val="24"/>
          <w14:ligatures w14:val="none"/>
        </w:rPr>
        <w:t xml:space="preserve">Aboriginal and Torres Strait Islander community-controlled sector services </w:t>
      </w:r>
      <w:r w:rsidR="007F3BBB">
        <w:rPr>
          <w:rFonts w:eastAsia="Calibri" w:cs="Calibri Light"/>
          <w:kern w:val="0"/>
          <w:szCs w:val="24"/>
          <w14:ligatures w14:val="none"/>
        </w:rPr>
        <w:t>‘</w:t>
      </w:r>
      <w:r w:rsidR="00663909">
        <w:rPr>
          <w:rFonts w:eastAsia="Calibri" w:cs="Calibri Light"/>
          <w:kern w:val="0"/>
          <w:szCs w:val="24"/>
          <w14:ligatures w14:val="none"/>
        </w:rPr>
        <w:t>mainstreamed</w:t>
      </w:r>
      <w:r w:rsidR="007F3BBB">
        <w:rPr>
          <w:rFonts w:eastAsia="Calibri" w:cs="Calibri Light"/>
          <w:kern w:val="0"/>
          <w:szCs w:val="24"/>
          <w14:ligatures w14:val="none"/>
        </w:rPr>
        <w:t>’</w:t>
      </w:r>
      <w:r w:rsidR="009F014C">
        <w:rPr>
          <w:rFonts w:eastAsia="Calibri" w:cs="Calibri Light"/>
          <w:kern w:val="0"/>
          <w:szCs w:val="24"/>
          <w14:ligatures w14:val="none"/>
        </w:rPr>
        <w:t xml:space="preserve"> for </w:t>
      </w:r>
      <w:r w:rsidR="0040227F">
        <w:rPr>
          <w:rFonts w:eastAsia="Calibri" w:cs="Calibri Light"/>
          <w:kern w:val="0"/>
          <w:szCs w:val="24"/>
          <w14:ligatures w14:val="none"/>
        </w:rPr>
        <w:t xml:space="preserve">at least </w:t>
      </w:r>
      <w:r w:rsidR="009F014C">
        <w:rPr>
          <w:rFonts w:eastAsia="Calibri" w:cs="Calibri Light"/>
          <w:kern w:val="0"/>
          <w:szCs w:val="24"/>
          <w14:ligatures w14:val="none"/>
        </w:rPr>
        <w:t>4 years</w:t>
      </w:r>
      <w:r w:rsidR="00663909">
        <w:rPr>
          <w:rFonts w:eastAsia="Calibri" w:cs="Calibri Light"/>
          <w:kern w:val="0"/>
          <w:szCs w:val="24"/>
          <w14:ligatures w14:val="none"/>
        </w:rPr>
        <w:t>. Th</w:t>
      </w:r>
      <w:r w:rsidR="007F3BBB">
        <w:rPr>
          <w:rFonts w:eastAsia="Calibri" w:cs="Calibri Light"/>
          <w:kern w:val="0"/>
          <w:szCs w:val="24"/>
          <w14:ligatures w14:val="none"/>
        </w:rPr>
        <w:t>is has the potential t</w:t>
      </w:r>
      <w:r w:rsidR="00D034D5">
        <w:rPr>
          <w:rFonts w:eastAsia="Calibri" w:cs="Calibri Light"/>
          <w:kern w:val="0"/>
          <w:szCs w:val="24"/>
          <w14:ligatures w14:val="none"/>
        </w:rPr>
        <w:t>o hinder community-controlled organisations</w:t>
      </w:r>
      <w:r w:rsidR="00366571">
        <w:rPr>
          <w:rFonts w:eastAsia="Calibri" w:cs="Calibri Light"/>
          <w:kern w:val="0"/>
          <w:szCs w:val="24"/>
          <w14:ligatures w14:val="none"/>
        </w:rPr>
        <w:t>’</w:t>
      </w:r>
      <w:r w:rsidR="00D034D5">
        <w:rPr>
          <w:rFonts w:eastAsia="Calibri" w:cs="Calibri Light"/>
          <w:kern w:val="0"/>
          <w:szCs w:val="24"/>
          <w14:ligatures w14:val="none"/>
        </w:rPr>
        <w:t xml:space="preserve"> </w:t>
      </w:r>
      <w:r w:rsidR="00663909">
        <w:t xml:space="preserve">ability </w:t>
      </w:r>
      <w:r w:rsidR="00663909" w:rsidRPr="00DE27A7">
        <w:t xml:space="preserve">to deliver culturally </w:t>
      </w:r>
      <w:r w:rsidR="008206DB">
        <w:t>safe</w:t>
      </w:r>
      <w:r w:rsidR="00663909" w:rsidRPr="00DE27A7">
        <w:t xml:space="preserve">, flexible care that meets the needs of elders and supports people to remain on </w:t>
      </w:r>
      <w:r w:rsidR="00184180" w:rsidRPr="00DE27A7">
        <w:t>Country</w:t>
      </w:r>
      <w:r w:rsidR="00663909" w:rsidRPr="00DE27A7">
        <w:t xml:space="preserve"> as they age</w:t>
      </w:r>
      <w:r w:rsidR="00663909">
        <w:t xml:space="preserve">. </w:t>
      </w:r>
    </w:p>
    <w:p w14:paraId="4C0EEE99" w14:textId="072A0B42" w:rsidR="00E977DC" w:rsidRPr="002C293D" w:rsidRDefault="003411D0" w:rsidP="00003555">
      <w:pPr>
        <w:rPr>
          <w:rFonts w:eastAsia="Calibri" w:cs="Calibri Light"/>
          <w:kern w:val="0"/>
          <w:szCs w:val="24"/>
          <w14:ligatures w14:val="none"/>
        </w:rPr>
      </w:pPr>
      <w:r>
        <w:t>The</w:t>
      </w:r>
      <w:r w:rsidR="00226539">
        <w:t xml:space="preserve"> sector</w:t>
      </w:r>
      <w:r w:rsidR="00562DD0">
        <w:t>, and the Inspector-General,</w:t>
      </w:r>
      <w:r w:rsidR="00226539">
        <w:t xml:space="preserve"> is highly concerned that </w:t>
      </w:r>
      <w:r w:rsidR="00562DD0">
        <w:t xml:space="preserve">government reforms </w:t>
      </w:r>
      <w:r w:rsidR="00226539">
        <w:t xml:space="preserve">will result in </w:t>
      </w:r>
      <w:r w:rsidR="002077DA">
        <w:t>a decline in the number of</w:t>
      </w:r>
      <w:r w:rsidR="0046134B">
        <w:t xml:space="preserve"> </w:t>
      </w:r>
      <w:r w:rsidR="00226539">
        <w:rPr>
          <w:rFonts w:eastAsia="Calibri" w:cs="Calibri Light"/>
          <w:kern w:val="0"/>
          <w:szCs w:val="24"/>
          <w14:ligatures w14:val="none"/>
        </w:rPr>
        <w:t>community-controlled services</w:t>
      </w:r>
      <w:r w:rsidR="00447DCB">
        <w:rPr>
          <w:rFonts w:eastAsia="Calibri" w:cs="Calibri Light"/>
          <w:kern w:val="0"/>
          <w:szCs w:val="24"/>
          <w14:ligatures w14:val="none"/>
        </w:rPr>
        <w:t xml:space="preserve"> providing aged care and </w:t>
      </w:r>
      <w:r w:rsidR="0054645E">
        <w:rPr>
          <w:rFonts w:eastAsia="Calibri" w:cs="Calibri Light"/>
          <w:kern w:val="0"/>
          <w:szCs w:val="24"/>
          <w14:ligatures w14:val="none"/>
        </w:rPr>
        <w:t>fewer</w:t>
      </w:r>
      <w:r w:rsidR="0054645E" w:rsidRPr="00B51E1F">
        <w:t xml:space="preserve"> </w:t>
      </w:r>
      <w:r w:rsidR="00B51E1F" w:rsidRPr="00B51E1F">
        <w:t>Aboriginal and Torres Strait Islander elders receiving the care and support they need</w:t>
      </w:r>
      <w:r w:rsidR="00003555">
        <w:t xml:space="preserve">. Both outcomes are </w:t>
      </w:r>
      <w:r w:rsidR="00B51E1F" w:rsidRPr="00B51E1F">
        <w:t>contrary to the intention of the Royal Commission.</w:t>
      </w:r>
    </w:p>
    <w:p w14:paraId="465195F2" w14:textId="6F73E6C3" w:rsidR="00E977DC" w:rsidRPr="00B51E1F" w:rsidRDefault="00E977DC" w:rsidP="00E977DC">
      <w:pPr>
        <w:pStyle w:val="ListParagraph"/>
        <w:numPr>
          <w:ilvl w:val="0"/>
          <w:numId w:val="3"/>
        </w:numPr>
        <w:spacing w:after="0"/>
        <w:rPr>
          <w:rFonts w:eastAsia="Calibri" w:cs="Calibri Light"/>
          <w:color w:val="501549" w:themeColor="accent5" w:themeShade="80"/>
          <w:kern w:val="0"/>
          <w:szCs w:val="24"/>
          <w14:ligatures w14:val="none"/>
        </w:rPr>
      </w:pPr>
      <w:r w:rsidRPr="00B51E1F">
        <w:rPr>
          <w:rFonts w:eastAsia="Calibri" w:cs="Calibri Light"/>
          <w:color w:val="501549" w:themeColor="accent5" w:themeShade="80"/>
          <w:kern w:val="0"/>
          <w:szCs w:val="24"/>
          <w14:ligatures w14:val="none"/>
        </w:rPr>
        <w:t xml:space="preserve">Parity of support for disability when moving from NDIS into aged care </w:t>
      </w:r>
    </w:p>
    <w:p w14:paraId="44145181" w14:textId="769A8E64" w:rsidR="00D3408C" w:rsidRDefault="00593334" w:rsidP="00CD22BB">
      <w:r>
        <w:rPr>
          <w:rFonts w:eastAsia="Calibri" w:cs="Calibri Light"/>
          <w:kern w:val="0"/>
          <w:szCs w:val="24"/>
          <w14:ligatures w14:val="none"/>
        </w:rPr>
        <w:t>A</w:t>
      </w:r>
      <w:r w:rsidR="00D3408C" w:rsidRPr="00D3408C">
        <w:rPr>
          <w:rFonts w:eastAsia="Calibri" w:cs="Calibri Light"/>
          <w:kern w:val="0"/>
          <w:szCs w:val="24"/>
          <w14:ligatures w14:val="none"/>
        </w:rPr>
        <w:t xml:space="preserve"> lack of action on achieving equity between the</w:t>
      </w:r>
      <w:r w:rsidR="002D559E">
        <w:rPr>
          <w:rFonts w:eastAsia="Calibri" w:cs="Calibri Light"/>
          <w:kern w:val="0"/>
          <w:szCs w:val="24"/>
          <w14:ligatures w14:val="none"/>
        </w:rPr>
        <w:t xml:space="preserve"> specialised, tailored disability-</w:t>
      </w:r>
      <w:r w:rsidR="00D3408C" w:rsidRPr="00D3408C">
        <w:rPr>
          <w:rFonts w:eastAsia="Calibri" w:cs="Calibri Light"/>
          <w:kern w:val="0"/>
          <w:szCs w:val="24"/>
          <w14:ligatures w14:val="none"/>
        </w:rPr>
        <w:t xml:space="preserve">care delivered to people with disability </w:t>
      </w:r>
      <w:r w:rsidR="00661028">
        <w:rPr>
          <w:rFonts w:eastAsia="Calibri" w:cs="Calibri Light"/>
          <w:kern w:val="0"/>
          <w:szCs w:val="24"/>
          <w14:ligatures w14:val="none"/>
        </w:rPr>
        <w:t xml:space="preserve">under the NDIS and that available </w:t>
      </w:r>
      <w:r w:rsidR="008D3D92">
        <w:rPr>
          <w:rFonts w:eastAsia="Calibri" w:cs="Calibri Light"/>
          <w:kern w:val="0"/>
          <w:szCs w:val="24"/>
          <w14:ligatures w14:val="none"/>
        </w:rPr>
        <w:t>in</w:t>
      </w:r>
      <w:r w:rsidR="00D3408C" w:rsidRPr="00D3408C">
        <w:rPr>
          <w:rFonts w:eastAsia="Calibri" w:cs="Calibri Light"/>
          <w:kern w:val="0"/>
          <w:szCs w:val="24"/>
          <w14:ligatures w14:val="none"/>
        </w:rPr>
        <w:t xml:space="preserve"> the aged care system will</w:t>
      </w:r>
      <w:r w:rsidR="002D559E">
        <w:rPr>
          <w:rFonts w:eastAsia="Calibri" w:cs="Calibri Light"/>
          <w:kern w:val="0"/>
          <w:szCs w:val="24"/>
          <w14:ligatures w14:val="none"/>
        </w:rPr>
        <w:t xml:space="preserve"> perpetuate</w:t>
      </w:r>
      <w:r w:rsidR="00D3408C" w:rsidRPr="00D3408C">
        <w:rPr>
          <w:rFonts w:eastAsia="Calibri" w:cs="Calibri Light"/>
          <w:kern w:val="0"/>
          <w:szCs w:val="24"/>
          <w14:ligatures w14:val="none"/>
        </w:rPr>
        <w:t xml:space="preserve"> problems already identified by the Royal Commission.</w:t>
      </w:r>
      <w:r w:rsidR="00D3408C" w:rsidRPr="00D3408C">
        <w:t xml:space="preserve"> </w:t>
      </w:r>
    </w:p>
    <w:p w14:paraId="5466FE99" w14:textId="060018AC" w:rsidR="00D3408C" w:rsidRPr="00681C9A" w:rsidRDefault="00DB60A7" w:rsidP="00CF124C">
      <w:pPr>
        <w:spacing w:after="120"/>
        <w:rPr>
          <w:rFonts w:eastAsia="Calibri" w:cs="Calibri Light"/>
          <w:kern w:val="0"/>
          <w:szCs w:val="24"/>
          <w14:ligatures w14:val="none"/>
        </w:rPr>
      </w:pPr>
      <w:r>
        <w:t>Additionally</w:t>
      </w:r>
      <w:r w:rsidR="00D3408C">
        <w:t xml:space="preserve">, </w:t>
      </w:r>
      <w:r w:rsidR="00D3408C">
        <w:rPr>
          <w:rFonts w:eastAsia="Calibri" w:cs="Calibri Light"/>
          <w:kern w:val="0"/>
          <w:szCs w:val="24"/>
          <w14:ligatures w14:val="none"/>
        </w:rPr>
        <w:t>t</w:t>
      </w:r>
      <w:r w:rsidR="00D3408C" w:rsidRPr="00D3408C">
        <w:rPr>
          <w:rFonts w:eastAsia="Calibri" w:cs="Calibri Light"/>
          <w:kern w:val="0"/>
          <w:szCs w:val="24"/>
          <w14:ligatures w14:val="none"/>
        </w:rPr>
        <w:t>he introduction of co-</w:t>
      </w:r>
      <w:r w:rsidR="005C381A">
        <w:rPr>
          <w:rFonts w:eastAsia="Calibri" w:cs="Calibri Light"/>
          <w:kern w:val="0"/>
          <w:szCs w:val="24"/>
          <w14:ligatures w14:val="none"/>
        </w:rPr>
        <w:t>payments</w:t>
      </w:r>
      <w:r w:rsidR="00D3408C" w:rsidRPr="00D3408C">
        <w:rPr>
          <w:rFonts w:eastAsia="Calibri" w:cs="Calibri Light"/>
          <w:kern w:val="0"/>
          <w:szCs w:val="24"/>
          <w14:ligatures w14:val="none"/>
        </w:rPr>
        <w:t xml:space="preserve"> will disproportionate</w:t>
      </w:r>
      <w:r w:rsidR="00A35ADA">
        <w:rPr>
          <w:rFonts w:eastAsia="Calibri" w:cs="Calibri Light"/>
          <w:kern w:val="0"/>
          <w:szCs w:val="24"/>
          <w14:ligatures w14:val="none"/>
        </w:rPr>
        <w:t>ly</w:t>
      </w:r>
      <w:r w:rsidR="00D3408C" w:rsidRPr="00D3408C">
        <w:rPr>
          <w:rFonts w:eastAsia="Calibri" w:cs="Calibri Light"/>
          <w:kern w:val="0"/>
          <w:szCs w:val="24"/>
          <w14:ligatures w14:val="none"/>
        </w:rPr>
        <w:t xml:space="preserve"> </w:t>
      </w:r>
      <w:r w:rsidR="00A35ADA">
        <w:rPr>
          <w:rFonts w:eastAsia="Calibri" w:cs="Calibri Light"/>
          <w:kern w:val="0"/>
          <w:szCs w:val="24"/>
          <w14:ligatures w14:val="none"/>
        </w:rPr>
        <w:t xml:space="preserve">affect </w:t>
      </w:r>
      <w:r w:rsidR="00D3408C" w:rsidRPr="00D3408C">
        <w:rPr>
          <w:rFonts w:eastAsia="Calibri" w:cs="Calibri Light"/>
          <w:kern w:val="0"/>
          <w:szCs w:val="24"/>
          <w14:ligatures w14:val="none"/>
        </w:rPr>
        <w:t>people with complex care needs</w:t>
      </w:r>
      <w:r w:rsidR="004B7256">
        <w:rPr>
          <w:rFonts w:eastAsia="Calibri" w:cs="Calibri Light"/>
          <w:kern w:val="0"/>
          <w:szCs w:val="24"/>
          <w14:ligatures w14:val="none"/>
        </w:rPr>
        <w:t xml:space="preserve"> wishing to </w:t>
      </w:r>
      <w:r w:rsidR="00A36B2C">
        <w:rPr>
          <w:rFonts w:eastAsia="Calibri" w:cs="Calibri Light"/>
          <w:kern w:val="0"/>
          <w:szCs w:val="24"/>
          <w14:ligatures w14:val="none"/>
        </w:rPr>
        <w:t>age</w:t>
      </w:r>
      <w:r w:rsidR="004B7256">
        <w:rPr>
          <w:rFonts w:eastAsia="Calibri" w:cs="Calibri Light"/>
          <w:kern w:val="0"/>
          <w:szCs w:val="24"/>
          <w14:ligatures w14:val="none"/>
        </w:rPr>
        <w:t xml:space="preserve"> </w:t>
      </w:r>
      <w:r w:rsidR="00A36B2C">
        <w:rPr>
          <w:rFonts w:eastAsia="Calibri" w:cs="Calibri Light"/>
          <w:kern w:val="0"/>
          <w:szCs w:val="24"/>
          <w14:ligatures w14:val="none"/>
        </w:rPr>
        <w:t xml:space="preserve">in their </w:t>
      </w:r>
      <w:r w:rsidR="00641029">
        <w:rPr>
          <w:rFonts w:eastAsia="Calibri" w:cs="Calibri Light"/>
          <w:kern w:val="0"/>
          <w:szCs w:val="24"/>
          <w14:ligatures w14:val="none"/>
        </w:rPr>
        <w:t xml:space="preserve">homes </w:t>
      </w:r>
      <w:r w:rsidR="006C6299">
        <w:rPr>
          <w:rFonts w:eastAsia="Calibri" w:cs="Calibri Light"/>
          <w:kern w:val="0"/>
          <w:szCs w:val="24"/>
          <w14:ligatures w14:val="none"/>
        </w:rPr>
        <w:t>or</w:t>
      </w:r>
      <w:r w:rsidR="00641029">
        <w:rPr>
          <w:rFonts w:eastAsia="Calibri" w:cs="Calibri Light"/>
          <w:kern w:val="0"/>
          <w:szCs w:val="24"/>
          <w14:ligatures w14:val="none"/>
        </w:rPr>
        <w:t xml:space="preserve"> communities</w:t>
      </w:r>
      <w:r w:rsidR="0073753C">
        <w:rPr>
          <w:rFonts w:eastAsia="Calibri" w:cs="Calibri Light"/>
          <w:kern w:val="0"/>
          <w:szCs w:val="24"/>
          <w14:ligatures w14:val="none"/>
        </w:rPr>
        <w:t xml:space="preserve">. </w:t>
      </w:r>
      <w:r w:rsidR="0050170C">
        <w:rPr>
          <w:rFonts w:eastAsia="Calibri" w:cs="Calibri Light"/>
          <w:kern w:val="0"/>
          <w:szCs w:val="24"/>
          <w14:ligatures w14:val="none"/>
        </w:rPr>
        <w:t>Those individuals</w:t>
      </w:r>
      <w:r w:rsidR="00CD22BB">
        <w:rPr>
          <w:rFonts w:eastAsia="Calibri" w:cs="Calibri Light"/>
          <w:kern w:val="0"/>
          <w:szCs w:val="24"/>
          <w14:ligatures w14:val="none"/>
        </w:rPr>
        <w:t xml:space="preserve"> </w:t>
      </w:r>
      <w:r w:rsidR="00D3408C" w:rsidRPr="00D3408C">
        <w:rPr>
          <w:rFonts w:eastAsia="Calibri" w:cs="Calibri Light"/>
          <w:kern w:val="0"/>
          <w:szCs w:val="24"/>
          <w14:ligatures w14:val="none"/>
        </w:rPr>
        <w:t xml:space="preserve">may </w:t>
      </w:r>
      <w:r w:rsidR="008A7AFF">
        <w:rPr>
          <w:rFonts w:eastAsia="Calibri" w:cs="Calibri Light"/>
          <w:kern w:val="0"/>
          <w:szCs w:val="24"/>
          <w14:ligatures w14:val="none"/>
        </w:rPr>
        <w:t xml:space="preserve">need to make the difficult choice of </w:t>
      </w:r>
      <w:r w:rsidR="007D30A5">
        <w:rPr>
          <w:rFonts w:eastAsia="Calibri" w:cs="Calibri Light"/>
          <w:kern w:val="0"/>
          <w:szCs w:val="24"/>
          <w14:ligatures w14:val="none"/>
        </w:rPr>
        <w:t>prematurely entering residential care</w:t>
      </w:r>
      <w:r w:rsidR="00AF47E9">
        <w:rPr>
          <w:rFonts w:eastAsia="Calibri" w:cs="Calibri Light"/>
          <w:kern w:val="0"/>
          <w:szCs w:val="24"/>
          <w14:ligatures w14:val="none"/>
        </w:rPr>
        <w:t>, against their wishes,</w:t>
      </w:r>
      <w:r w:rsidR="00D3408C" w:rsidRPr="00D3408C">
        <w:rPr>
          <w:rFonts w:eastAsia="Calibri" w:cs="Calibri Light"/>
          <w:kern w:val="0"/>
          <w:szCs w:val="24"/>
          <w14:ligatures w14:val="none"/>
        </w:rPr>
        <w:t xml:space="preserve"> to access the </w:t>
      </w:r>
      <w:r w:rsidR="00755585">
        <w:rPr>
          <w:rFonts w:eastAsia="Calibri" w:cs="Calibri Light"/>
          <w:kern w:val="0"/>
          <w:szCs w:val="24"/>
          <w14:ligatures w14:val="none"/>
        </w:rPr>
        <w:t xml:space="preserve">care and </w:t>
      </w:r>
      <w:r w:rsidR="00BB69DA">
        <w:rPr>
          <w:rFonts w:eastAsia="Calibri" w:cs="Calibri Light"/>
          <w:kern w:val="0"/>
          <w:szCs w:val="24"/>
          <w14:ligatures w14:val="none"/>
        </w:rPr>
        <w:t>support</w:t>
      </w:r>
      <w:r w:rsidR="00D3408C" w:rsidRPr="00D3408C">
        <w:rPr>
          <w:rFonts w:eastAsia="Calibri" w:cs="Calibri Light"/>
          <w:kern w:val="0"/>
          <w:szCs w:val="24"/>
          <w14:ligatures w14:val="none"/>
        </w:rPr>
        <w:t xml:space="preserve"> they need</w:t>
      </w:r>
      <w:r w:rsidR="00D3408C">
        <w:rPr>
          <w:rFonts w:eastAsia="Calibri" w:cs="Calibri Light"/>
          <w:kern w:val="0"/>
          <w:szCs w:val="24"/>
          <w14:ligatures w14:val="none"/>
        </w:rPr>
        <w:t xml:space="preserve">. </w:t>
      </w:r>
    </w:p>
    <w:p w14:paraId="17AAB2AB" w14:textId="0730308F" w:rsidR="00D3408C" w:rsidRPr="00DE0018" w:rsidRDefault="00DE0018" w:rsidP="00D3408C">
      <w:pPr>
        <w:pStyle w:val="ListParagraph"/>
        <w:numPr>
          <w:ilvl w:val="0"/>
          <w:numId w:val="3"/>
        </w:numPr>
        <w:spacing w:after="0"/>
        <w:rPr>
          <w:rFonts w:eastAsia="Calibri" w:cs="Calibri Light"/>
          <w:color w:val="501549" w:themeColor="accent5" w:themeShade="80"/>
          <w:kern w:val="0"/>
          <w:szCs w:val="24"/>
          <w14:ligatures w14:val="none"/>
        </w:rPr>
      </w:pPr>
      <w:r w:rsidRPr="00DE0018">
        <w:rPr>
          <w:rFonts w:eastAsia="Calibri" w:cs="Calibri Light"/>
          <w:color w:val="501549" w:themeColor="accent5" w:themeShade="80"/>
          <w:kern w:val="0"/>
          <w:szCs w:val="24"/>
          <w14:ligatures w14:val="none"/>
        </w:rPr>
        <w:t xml:space="preserve">Workforce </w:t>
      </w:r>
      <w:r w:rsidR="00E504A2">
        <w:rPr>
          <w:rFonts w:eastAsia="Calibri" w:cs="Calibri Light"/>
          <w:color w:val="501549" w:themeColor="accent5" w:themeShade="80"/>
          <w:kern w:val="0"/>
          <w:szCs w:val="24"/>
          <w14:ligatures w14:val="none"/>
        </w:rPr>
        <w:t xml:space="preserve">quality, </w:t>
      </w:r>
      <w:r w:rsidRPr="00DE0018">
        <w:rPr>
          <w:rFonts w:eastAsia="Calibri" w:cs="Calibri Light"/>
          <w:color w:val="501549" w:themeColor="accent5" w:themeShade="80"/>
          <w:kern w:val="0"/>
          <w:szCs w:val="24"/>
          <w14:ligatures w14:val="none"/>
        </w:rPr>
        <w:t>sustainability and detraction</w:t>
      </w:r>
      <w:r w:rsidR="00C72D6C">
        <w:rPr>
          <w:rFonts w:eastAsia="Calibri" w:cs="Calibri Light"/>
          <w:color w:val="501549" w:themeColor="accent5" w:themeShade="80"/>
          <w:kern w:val="0"/>
          <w:szCs w:val="24"/>
          <w14:ligatures w14:val="none"/>
        </w:rPr>
        <w:t>s</w:t>
      </w:r>
      <w:r w:rsidRPr="00DE0018">
        <w:rPr>
          <w:rFonts w:eastAsia="Calibri" w:cs="Calibri Light"/>
          <w:color w:val="501549" w:themeColor="accent5" w:themeShade="80"/>
          <w:kern w:val="0"/>
          <w:szCs w:val="24"/>
          <w14:ligatures w14:val="none"/>
        </w:rPr>
        <w:t xml:space="preserve"> from care</w:t>
      </w:r>
    </w:p>
    <w:p w14:paraId="0EAC1FEA" w14:textId="5A815AEA" w:rsidR="00E504A2" w:rsidRDefault="00E504A2" w:rsidP="00DE0018">
      <w:pPr>
        <w:rPr>
          <w:rFonts w:eastAsia="Calibri" w:cs="Calibri Light"/>
          <w:kern w:val="0"/>
          <w:szCs w:val="24"/>
          <w14:ligatures w14:val="none"/>
        </w:rPr>
      </w:pPr>
      <w:r>
        <w:rPr>
          <w:rFonts w:eastAsia="Calibri" w:cs="Calibri Light"/>
          <w:kern w:val="0"/>
          <w:szCs w:val="24"/>
          <w14:ligatures w14:val="none"/>
        </w:rPr>
        <w:t xml:space="preserve">Raising the quality </w:t>
      </w:r>
      <w:r w:rsidR="00A12760">
        <w:rPr>
          <w:rFonts w:eastAsia="Calibri" w:cs="Calibri Light"/>
          <w:kern w:val="0"/>
          <w:szCs w:val="24"/>
          <w14:ligatures w14:val="none"/>
        </w:rPr>
        <w:t xml:space="preserve">and quantity </w:t>
      </w:r>
      <w:r>
        <w:rPr>
          <w:rFonts w:eastAsia="Calibri" w:cs="Calibri Light"/>
          <w:kern w:val="0"/>
          <w:szCs w:val="24"/>
          <w14:ligatures w14:val="none"/>
        </w:rPr>
        <w:t xml:space="preserve">of </w:t>
      </w:r>
      <w:r w:rsidR="00A12760">
        <w:rPr>
          <w:rFonts w:eastAsia="Calibri" w:cs="Calibri Light"/>
          <w:kern w:val="0"/>
          <w:szCs w:val="24"/>
          <w14:ligatures w14:val="none"/>
        </w:rPr>
        <w:t xml:space="preserve">skilled </w:t>
      </w:r>
      <w:r w:rsidR="001175B1">
        <w:rPr>
          <w:rFonts w:eastAsia="Calibri" w:cs="Calibri Light"/>
          <w:kern w:val="0"/>
          <w:szCs w:val="24"/>
          <w14:ligatures w14:val="none"/>
        </w:rPr>
        <w:t xml:space="preserve">and committed </w:t>
      </w:r>
      <w:r w:rsidR="00A12760">
        <w:rPr>
          <w:rFonts w:eastAsia="Calibri" w:cs="Calibri Light"/>
          <w:kern w:val="0"/>
          <w:szCs w:val="24"/>
          <w14:ligatures w14:val="none"/>
        </w:rPr>
        <w:t>aged care workers</w:t>
      </w:r>
      <w:r>
        <w:rPr>
          <w:rFonts w:eastAsia="Calibri" w:cs="Calibri Light"/>
          <w:kern w:val="0"/>
          <w:szCs w:val="24"/>
          <w14:ligatures w14:val="none"/>
        </w:rPr>
        <w:t xml:space="preserve"> will be pivotal to the delivery of </w:t>
      </w:r>
      <w:proofErr w:type="gramStart"/>
      <w:r>
        <w:rPr>
          <w:rFonts w:eastAsia="Calibri" w:cs="Calibri Light"/>
          <w:kern w:val="0"/>
          <w:szCs w:val="24"/>
          <w14:ligatures w14:val="none"/>
        </w:rPr>
        <w:t>high quality</w:t>
      </w:r>
      <w:proofErr w:type="gramEnd"/>
      <w:r>
        <w:rPr>
          <w:rFonts w:eastAsia="Calibri" w:cs="Calibri Light"/>
          <w:kern w:val="0"/>
          <w:szCs w:val="24"/>
          <w14:ligatures w14:val="none"/>
        </w:rPr>
        <w:t xml:space="preserve"> care</w:t>
      </w:r>
      <w:r w:rsidR="00D90CC0">
        <w:rPr>
          <w:rFonts w:eastAsia="Calibri" w:cs="Calibri Light"/>
          <w:kern w:val="0"/>
          <w:szCs w:val="24"/>
          <w14:ligatures w14:val="none"/>
        </w:rPr>
        <w:t>. Mandatory, rather than regular, training should be a requirement</w:t>
      </w:r>
      <w:r w:rsidR="00C96D6A">
        <w:rPr>
          <w:rFonts w:eastAsia="Calibri" w:cs="Calibri Light"/>
          <w:kern w:val="0"/>
          <w:szCs w:val="24"/>
          <w14:ligatures w14:val="none"/>
        </w:rPr>
        <w:t>, in particular with respect to cultural safety and specialised dementia care</w:t>
      </w:r>
      <w:r w:rsidR="00D90CC0">
        <w:rPr>
          <w:rFonts w:eastAsia="Calibri" w:cs="Calibri Light"/>
          <w:kern w:val="0"/>
          <w:szCs w:val="24"/>
          <w14:ligatures w14:val="none"/>
        </w:rPr>
        <w:t xml:space="preserve">. </w:t>
      </w:r>
      <w:r w:rsidR="0068773F">
        <w:rPr>
          <w:rFonts w:eastAsia="Calibri" w:cs="Calibri Light"/>
          <w:kern w:val="0"/>
          <w:szCs w:val="24"/>
          <w14:ligatures w14:val="none"/>
        </w:rPr>
        <w:t xml:space="preserve">The Inspector-General </w:t>
      </w:r>
      <w:r w:rsidR="00D0748D">
        <w:rPr>
          <w:rFonts w:eastAsia="Calibri" w:cs="Calibri Light"/>
          <w:kern w:val="0"/>
          <w:szCs w:val="24"/>
          <w14:ligatures w14:val="none"/>
        </w:rPr>
        <w:t>also</w:t>
      </w:r>
      <w:r w:rsidR="0068773F">
        <w:rPr>
          <w:rFonts w:eastAsia="Calibri" w:cs="Calibri Light"/>
          <w:kern w:val="0"/>
          <w:szCs w:val="24"/>
          <w14:ligatures w14:val="none"/>
        </w:rPr>
        <w:t xml:space="preserve"> supports </w:t>
      </w:r>
      <w:r w:rsidR="00043E1A">
        <w:rPr>
          <w:rFonts w:eastAsia="Calibri" w:cs="Calibri Light"/>
          <w:kern w:val="0"/>
          <w:szCs w:val="24"/>
          <w14:ligatures w14:val="none"/>
        </w:rPr>
        <w:t xml:space="preserve">the </w:t>
      </w:r>
      <w:r w:rsidR="00D0748D">
        <w:rPr>
          <w:rFonts w:eastAsia="Calibri" w:cs="Calibri Light"/>
          <w:kern w:val="0"/>
          <w:szCs w:val="24"/>
          <w14:ligatures w14:val="none"/>
        </w:rPr>
        <w:t xml:space="preserve">Royal Commission’s call for the </w:t>
      </w:r>
      <w:r w:rsidR="00043E1A">
        <w:rPr>
          <w:rFonts w:eastAsia="Calibri" w:cs="Calibri Light"/>
          <w:kern w:val="0"/>
          <w:szCs w:val="24"/>
          <w14:ligatures w14:val="none"/>
        </w:rPr>
        <w:t xml:space="preserve">imposition of </w:t>
      </w:r>
      <w:r w:rsidR="00D0748D">
        <w:rPr>
          <w:rFonts w:eastAsia="Calibri" w:cs="Calibri Light"/>
          <w:kern w:val="0"/>
          <w:szCs w:val="24"/>
          <w14:ligatures w14:val="none"/>
        </w:rPr>
        <w:t xml:space="preserve">mandatory </w:t>
      </w:r>
      <w:r w:rsidR="00043E1A">
        <w:rPr>
          <w:rFonts w:eastAsia="Calibri" w:cs="Calibri Light"/>
          <w:kern w:val="0"/>
          <w:szCs w:val="24"/>
          <w14:ligatures w14:val="none"/>
        </w:rPr>
        <w:t>m</w:t>
      </w:r>
      <w:r w:rsidR="00D90CC0">
        <w:rPr>
          <w:rFonts w:eastAsia="Calibri" w:cs="Calibri Light"/>
          <w:kern w:val="0"/>
          <w:szCs w:val="24"/>
          <w14:ligatures w14:val="none"/>
        </w:rPr>
        <w:t>inimum qualifications</w:t>
      </w:r>
      <w:r w:rsidR="0068773F">
        <w:rPr>
          <w:rFonts w:eastAsia="Calibri" w:cs="Calibri Light"/>
          <w:kern w:val="0"/>
          <w:szCs w:val="24"/>
          <w14:ligatures w14:val="none"/>
        </w:rPr>
        <w:t>, workforce screening and registration.</w:t>
      </w:r>
      <w:r w:rsidR="00D90CC0">
        <w:rPr>
          <w:rFonts w:eastAsia="Calibri" w:cs="Calibri Light"/>
          <w:kern w:val="0"/>
          <w:szCs w:val="24"/>
          <w14:ligatures w14:val="none"/>
        </w:rPr>
        <w:t xml:space="preserve"> </w:t>
      </w:r>
    </w:p>
    <w:p w14:paraId="15A65F2F" w14:textId="691DF029" w:rsidR="00E977DC" w:rsidRPr="00DE0018" w:rsidRDefault="00B32414" w:rsidP="00DE0018">
      <w:pPr>
        <w:rPr>
          <w:rFonts w:eastAsia="Calibri" w:cs="Calibri Light"/>
          <w:kern w:val="0"/>
          <w:szCs w:val="24"/>
          <w14:ligatures w14:val="none"/>
        </w:rPr>
      </w:pPr>
      <w:r w:rsidRPr="00DE0018">
        <w:rPr>
          <w:rFonts w:eastAsia="Calibri" w:cs="Calibri Light"/>
          <w:kern w:val="0"/>
          <w:szCs w:val="24"/>
          <w14:ligatures w14:val="none"/>
        </w:rPr>
        <w:t xml:space="preserve">Prioritising </w:t>
      </w:r>
      <w:r w:rsidR="00DE0018" w:rsidRPr="00DE0018">
        <w:rPr>
          <w:rFonts w:eastAsia="Calibri" w:cs="Calibri Light"/>
          <w:kern w:val="0"/>
          <w:szCs w:val="24"/>
          <w14:ligatures w14:val="none"/>
        </w:rPr>
        <w:t xml:space="preserve">consumer rights must be </w:t>
      </w:r>
      <w:r w:rsidR="00371177">
        <w:rPr>
          <w:rFonts w:eastAsia="Calibri" w:cs="Calibri Light"/>
          <w:kern w:val="0"/>
          <w:szCs w:val="24"/>
          <w14:ligatures w14:val="none"/>
        </w:rPr>
        <w:t>a goal that is pursued concurrently with ensuring</w:t>
      </w:r>
      <w:r w:rsidR="00DE0018" w:rsidRPr="00DE0018">
        <w:rPr>
          <w:rFonts w:eastAsia="Calibri" w:cs="Calibri Light"/>
          <w:kern w:val="0"/>
          <w:szCs w:val="24"/>
          <w14:ligatures w14:val="none"/>
        </w:rPr>
        <w:t xml:space="preserve"> workers</w:t>
      </w:r>
      <w:r w:rsidR="008416FD">
        <w:rPr>
          <w:rFonts w:eastAsia="Calibri" w:cs="Calibri Light"/>
          <w:kern w:val="0"/>
          <w:szCs w:val="24"/>
          <w14:ligatures w14:val="none"/>
        </w:rPr>
        <w:t>’</w:t>
      </w:r>
      <w:r w:rsidR="00DE0018" w:rsidRPr="00DE0018">
        <w:rPr>
          <w:rFonts w:eastAsia="Calibri" w:cs="Calibri Light"/>
          <w:kern w:val="0"/>
          <w:szCs w:val="24"/>
          <w14:ligatures w14:val="none"/>
        </w:rPr>
        <w:t xml:space="preserve"> safety, rights and needs.</w:t>
      </w:r>
      <w:r w:rsidR="00CF124C">
        <w:rPr>
          <w:rFonts w:eastAsia="Calibri" w:cs="Calibri Light"/>
          <w:kern w:val="0"/>
          <w:szCs w:val="24"/>
          <w14:ligatures w14:val="none"/>
        </w:rPr>
        <w:t xml:space="preserve"> Inadequate protections</w:t>
      </w:r>
      <w:r w:rsidR="00DE0018" w:rsidRPr="00DE0018">
        <w:rPr>
          <w:rFonts w:eastAsia="Calibri" w:cs="Calibri Light"/>
          <w:kern w:val="0"/>
          <w:szCs w:val="24"/>
          <w14:ligatures w14:val="none"/>
        </w:rPr>
        <w:t xml:space="preserve"> will result in premature departure of workers from the sector and will negatively impact long term retention and successful expansion of the workforce.</w:t>
      </w:r>
    </w:p>
    <w:p w14:paraId="653DC6A1" w14:textId="7E6F1A2B" w:rsidR="005C381A" w:rsidRDefault="00B408F7">
      <w:r>
        <w:t>Provider r</w:t>
      </w:r>
      <w:r w:rsidR="00043E1A">
        <w:t xml:space="preserve">eporting </w:t>
      </w:r>
      <w:r w:rsidR="00543763">
        <w:t xml:space="preserve">requirements, while critical </w:t>
      </w:r>
      <w:r w:rsidR="00A855BC">
        <w:t xml:space="preserve">to service oversight, need to balance </w:t>
      </w:r>
      <w:r w:rsidR="0082332A">
        <w:t xml:space="preserve">regulatory </w:t>
      </w:r>
      <w:r w:rsidR="00C403F7">
        <w:t xml:space="preserve">burden with a legitimate need to </w:t>
      </w:r>
      <w:r w:rsidR="00A855BC">
        <w:t>provide information</w:t>
      </w:r>
      <w:r w:rsidR="00C403F7">
        <w:t xml:space="preserve">. </w:t>
      </w:r>
      <w:r w:rsidR="00547857">
        <w:t>I</w:t>
      </w:r>
      <w:r w:rsidR="00C403F7">
        <w:t xml:space="preserve">ncreased </w:t>
      </w:r>
      <w:r w:rsidR="0066390C">
        <w:t xml:space="preserve">reporting </w:t>
      </w:r>
      <w:r w:rsidR="00547857">
        <w:t xml:space="preserve">must not </w:t>
      </w:r>
      <w:r w:rsidR="002D3A54">
        <w:t>come at the expense of</w:t>
      </w:r>
      <w:r w:rsidR="00DE0018" w:rsidRPr="00DE27A7">
        <w:t xml:space="preserve"> </w:t>
      </w:r>
      <w:r w:rsidR="00CD22BB">
        <w:t>the</w:t>
      </w:r>
      <w:r w:rsidR="00555D82">
        <w:t xml:space="preserve"> provision of</w:t>
      </w:r>
      <w:r w:rsidR="002D3A54">
        <w:t xml:space="preserve"> high quality and safe</w:t>
      </w:r>
      <w:r w:rsidR="00555D82">
        <w:t xml:space="preserve"> care</w:t>
      </w:r>
      <w:r w:rsidR="00CD22BB">
        <w:t xml:space="preserve">. </w:t>
      </w:r>
      <w:r w:rsidR="005C381A">
        <w:br w:type="page"/>
      </w:r>
    </w:p>
    <w:p w14:paraId="4A0BF21D" w14:textId="3BFD8F37" w:rsidR="00CD22BB" w:rsidRPr="00CD22BB" w:rsidRDefault="00CD22BB" w:rsidP="00D26F33">
      <w:pPr>
        <w:spacing w:after="0"/>
        <w:rPr>
          <w:color w:val="501549" w:themeColor="accent5" w:themeShade="80"/>
          <w:u w:val="single"/>
        </w:rPr>
      </w:pPr>
      <w:r w:rsidRPr="00CD22BB">
        <w:rPr>
          <w:color w:val="501549" w:themeColor="accent5" w:themeShade="80"/>
          <w:u w:val="single"/>
        </w:rPr>
        <w:lastRenderedPageBreak/>
        <w:t xml:space="preserve">Opportunities for </w:t>
      </w:r>
      <w:r w:rsidR="00173563">
        <w:rPr>
          <w:color w:val="501549" w:themeColor="accent5" w:themeShade="80"/>
          <w:u w:val="single"/>
        </w:rPr>
        <w:t>improvement</w:t>
      </w:r>
      <w:r w:rsidRPr="00CD22BB">
        <w:rPr>
          <w:color w:val="501549" w:themeColor="accent5" w:themeShade="80"/>
          <w:u w:val="single"/>
        </w:rPr>
        <w:t xml:space="preserve"> </w:t>
      </w:r>
    </w:p>
    <w:p w14:paraId="1DE322D1" w14:textId="01588757" w:rsidR="00CD22BB" w:rsidRDefault="00CD22BB" w:rsidP="00D26F33">
      <w:pPr>
        <w:spacing w:after="120"/>
      </w:pPr>
      <w:r>
        <w:t xml:space="preserve">The </w:t>
      </w:r>
      <w:r w:rsidR="00173563">
        <w:t xml:space="preserve">Inspector-General </w:t>
      </w:r>
      <w:r w:rsidR="00CF124C">
        <w:t>identifies</w:t>
      </w:r>
      <w:r w:rsidRPr="00DE27A7">
        <w:t xml:space="preserve"> a range of short-, medium- and longer-term measures that the government should consider </w:t>
      </w:r>
      <w:proofErr w:type="gramStart"/>
      <w:r w:rsidRPr="00DE27A7">
        <w:t xml:space="preserve">to </w:t>
      </w:r>
      <w:r w:rsidR="002E3682">
        <w:t>ensure</w:t>
      </w:r>
      <w:proofErr w:type="gramEnd"/>
      <w:r w:rsidR="002E3682">
        <w:t xml:space="preserve"> </w:t>
      </w:r>
      <w:r w:rsidR="00C4366F">
        <w:t>appropriate</w:t>
      </w:r>
      <w:r w:rsidR="00B32257">
        <w:t xml:space="preserve"> mechanisms </w:t>
      </w:r>
      <w:r w:rsidR="00C4366F">
        <w:t>exist</w:t>
      </w:r>
      <w:r w:rsidR="002758C4">
        <w:t xml:space="preserve"> to</w:t>
      </w:r>
      <w:r w:rsidR="00C4366F">
        <w:t xml:space="preserve"> </w:t>
      </w:r>
      <w:r w:rsidR="00B32257">
        <w:t>give life to its mandate</w:t>
      </w:r>
      <w:r w:rsidR="005D031B">
        <w:t xml:space="preserve"> to deliver transformational change</w:t>
      </w:r>
      <w:r w:rsidR="00B32257">
        <w:t xml:space="preserve"> </w:t>
      </w:r>
      <w:r w:rsidR="001659B3">
        <w:t xml:space="preserve">and </w:t>
      </w:r>
      <w:r w:rsidRPr="00DE27A7">
        <w:t xml:space="preserve">align the system more closely with the Royal Commission’s intent. </w:t>
      </w:r>
    </w:p>
    <w:p w14:paraId="67D9FFBF" w14:textId="256DFF41" w:rsidR="00681C9A" w:rsidRDefault="00681C9A" w:rsidP="00681C9A">
      <w:pPr>
        <w:spacing w:after="0"/>
      </w:pPr>
      <w:r>
        <w:t>In the short term</w:t>
      </w:r>
      <w:r w:rsidR="00173563">
        <w:t>,</w:t>
      </w:r>
      <w:r>
        <w:t xml:space="preserve"> the </w:t>
      </w:r>
      <w:r w:rsidR="00017768">
        <w:t>focus should be on</w:t>
      </w:r>
      <w:r>
        <w:t>:</w:t>
      </w:r>
    </w:p>
    <w:p w14:paraId="07B22DD4" w14:textId="12B93E03" w:rsidR="00681C9A" w:rsidRDefault="00681C9A" w:rsidP="00681C9A">
      <w:pPr>
        <w:pStyle w:val="ListParagraph"/>
        <w:numPr>
          <w:ilvl w:val="1"/>
          <w:numId w:val="10"/>
        </w:numPr>
      </w:pPr>
      <w:r>
        <w:t>e</w:t>
      </w:r>
      <w:r w:rsidRPr="00681C9A">
        <w:t>mbed</w:t>
      </w:r>
      <w:r w:rsidR="00017768">
        <w:t>ding</w:t>
      </w:r>
      <w:r>
        <w:t xml:space="preserve"> </w:t>
      </w:r>
      <w:r w:rsidR="007249A7">
        <w:t xml:space="preserve">clear, </w:t>
      </w:r>
      <w:r w:rsidR="00E74B0F">
        <w:t xml:space="preserve">accessible and effective </w:t>
      </w:r>
      <w:r w:rsidRPr="00681C9A">
        <w:t xml:space="preserve">mechanisms </w:t>
      </w:r>
      <w:r>
        <w:t>to</w:t>
      </w:r>
      <w:r w:rsidRPr="00681C9A">
        <w:t xml:space="preserve"> </w:t>
      </w:r>
      <w:r w:rsidR="00017768">
        <w:t>support</w:t>
      </w:r>
      <w:r w:rsidRPr="00681C9A">
        <w:t xml:space="preserve"> the new Act’s commitment to rights-based, </w:t>
      </w:r>
      <w:proofErr w:type="gramStart"/>
      <w:r w:rsidRPr="00681C9A">
        <w:t>high</w:t>
      </w:r>
      <w:r w:rsidR="000B6E8D">
        <w:t xml:space="preserve"> </w:t>
      </w:r>
      <w:r w:rsidRPr="00681C9A">
        <w:t>quality</w:t>
      </w:r>
      <w:proofErr w:type="gramEnd"/>
      <w:r w:rsidRPr="00681C9A">
        <w:t xml:space="preserve"> care</w:t>
      </w:r>
      <w:r w:rsidR="00782194">
        <w:t xml:space="preserve"> that do not solely rely on a person</w:t>
      </w:r>
      <w:r w:rsidR="000E4785">
        <w:t xml:space="preserve"> raising a complaint to enforce them</w:t>
      </w:r>
    </w:p>
    <w:p w14:paraId="0010BB60" w14:textId="6B871BCF" w:rsidR="007A7F2D" w:rsidRDefault="00BA6B7A" w:rsidP="007A7F2D">
      <w:pPr>
        <w:pStyle w:val="ListParagraph"/>
        <w:numPr>
          <w:ilvl w:val="0"/>
          <w:numId w:val="10"/>
        </w:numPr>
      </w:pPr>
      <w:r>
        <w:t xml:space="preserve">pausing the mainstreaming of </w:t>
      </w:r>
      <w:r w:rsidR="00355FBF" w:rsidRPr="007A7F2D">
        <w:t>Aboriginal and Torres Strait Islander</w:t>
      </w:r>
      <w:r w:rsidR="00355FBF">
        <w:t xml:space="preserve"> </w:t>
      </w:r>
      <w:r w:rsidR="00246320">
        <w:t xml:space="preserve">community-controlled </w:t>
      </w:r>
      <w:r w:rsidR="00355FBF">
        <w:t>organisations</w:t>
      </w:r>
      <w:r w:rsidR="00A80C1C">
        <w:t xml:space="preserve"> </w:t>
      </w:r>
      <w:r w:rsidR="006C140B">
        <w:t xml:space="preserve">and maintaining current block funding at least </w:t>
      </w:r>
      <w:r w:rsidR="00E5790A">
        <w:t xml:space="preserve">while </w:t>
      </w:r>
      <w:r w:rsidR="000F4B88">
        <w:t>an</w:t>
      </w:r>
      <w:r w:rsidR="00A80C1C">
        <w:t xml:space="preserve"> end-to-end</w:t>
      </w:r>
      <w:r w:rsidR="007A7F2D">
        <w:t xml:space="preserve"> </w:t>
      </w:r>
      <w:r w:rsidR="007A7F2D" w:rsidRPr="007A7F2D">
        <w:t xml:space="preserve">co-design of an Aboriginal and Torres Strait Islander pathway </w:t>
      </w:r>
      <w:r w:rsidR="00E57F9B">
        <w:t xml:space="preserve">is </w:t>
      </w:r>
      <w:r w:rsidR="000F4B88">
        <w:t>undertaken</w:t>
      </w:r>
      <w:r w:rsidR="007A7F2D" w:rsidRPr="007A7F2D" w:rsidDel="00967E83">
        <w:t xml:space="preserve"> </w:t>
      </w:r>
    </w:p>
    <w:p w14:paraId="6BB0A09C" w14:textId="1C8AE81C" w:rsidR="00681C9A" w:rsidRDefault="00681C9A" w:rsidP="00681C9A">
      <w:pPr>
        <w:pStyle w:val="ListParagraph"/>
        <w:numPr>
          <w:ilvl w:val="1"/>
          <w:numId w:val="10"/>
        </w:numPr>
      </w:pPr>
      <w:r>
        <w:t>establish</w:t>
      </w:r>
      <w:r w:rsidR="009F1CC6">
        <w:t>ing</w:t>
      </w:r>
      <w:r w:rsidRPr="00681C9A">
        <w:t xml:space="preserve"> mechanisms to deliver social and emotional support to older people and </w:t>
      </w:r>
      <w:r w:rsidR="009F1CC6">
        <w:t xml:space="preserve">appropriately </w:t>
      </w:r>
      <w:r w:rsidRPr="00681C9A">
        <w:t>respond</w:t>
      </w:r>
      <w:r w:rsidR="00E91B4B">
        <w:t>ing</w:t>
      </w:r>
      <w:r w:rsidRPr="00681C9A">
        <w:t xml:space="preserve"> to </w:t>
      </w:r>
      <w:r w:rsidR="009F1CC6">
        <w:t xml:space="preserve">their </w:t>
      </w:r>
      <w:r w:rsidRPr="00681C9A">
        <w:t xml:space="preserve">diverse life experiences </w:t>
      </w:r>
    </w:p>
    <w:p w14:paraId="0E5E9CEE" w14:textId="3942CC76" w:rsidR="00681C9A" w:rsidRDefault="00681C9A" w:rsidP="00681C9A">
      <w:pPr>
        <w:pStyle w:val="ListParagraph"/>
        <w:numPr>
          <w:ilvl w:val="1"/>
          <w:numId w:val="10"/>
        </w:numPr>
      </w:pPr>
      <w:r>
        <w:t>improv</w:t>
      </w:r>
      <w:r w:rsidR="00F42527">
        <w:t>ing</w:t>
      </w:r>
      <w:r>
        <w:t xml:space="preserve"> the</w:t>
      </w:r>
      <w:r w:rsidRPr="00681C9A">
        <w:t xml:space="preserve"> handling of complaints</w:t>
      </w:r>
    </w:p>
    <w:p w14:paraId="2E92885D" w14:textId="6B217BAE" w:rsidR="003E37AA" w:rsidRDefault="003E37AA" w:rsidP="00681C9A">
      <w:pPr>
        <w:pStyle w:val="ListParagraph"/>
        <w:numPr>
          <w:ilvl w:val="1"/>
          <w:numId w:val="10"/>
        </w:numPr>
      </w:pPr>
      <w:r>
        <w:t>str</w:t>
      </w:r>
      <w:r w:rsidR="00DF3359">
        <w:t>engthening</w:t>
      </w:r>
      <w:r>
        <w:t xml:space="preserve"> regulatory approaches to reduce and eliminate restrictive practices, and the </w:t>
      </w:r>
      <w:r w:rsidR="00F722C3">
        <w:t xml:space="preserve">‘unreasonable use of force’ in </w:t>
      </w:r>
      <w:r>
        <w:t>aged care</w:t>
      </w:r>
    </w:p>
    <w:p w14:paraId="350E7335" w14:textId="52AA92DF" w:rsidR="00681C9A" w:rsidRDefault="00681C9A" w:rsidP="00D26F33">
      <w:pPr>
        <w:pStyle w:val="ListParagraph"/>
        <w:numPr>
          <w:ilvl w:val="1"/>
          <w:numId w:val="10"/>
        </w:numPr>
        <w:spacing w:after="120"/>
      </w:pPr>
      <w:r>
        <w:t>increas</w:t>
      </w:r>
      <w:r w:rsidR="00FD228B">
        <w:t>ing</w:t>
      </w:r>
      <w:r>
        <w:t xml:space="preserve"> navigational support for consumers</w:t>
      </w:r>
      <w:r w:rsidR="00CF124C">
        <w:t>.</w:t>
      </w:r>
    </w:p>
    <w:p w14:paraId="128912AD" w14:textId="26222CA8" w:rsidR="00681C9A" w:rsidRDefault="00681C9A" w:rsidP="00681C9A">
      <w:pPr>
        <w:spacing w:after="0"/>
      </w:pPr>
      <w:r>
        <w:t xml:space="preserve">In the medium term the </w:t>
      </w:r>
      <w:r w:rsidR="009F1CC6">
        <w:t xml:space="preserve">Inspector-General </w:t>
      </w:r>
      <w:r w:rsidR="008340A0">
        <w:t>proposes action on</w:t>
      </w:r>
      <w:r>
        <w:t>:</w:t>
      </w:r>
    </w:p>
    <w:p w14:paraId="19B6E23F" w14:textId="1F8350F9" w:rsidR="00681C9A" w:rsidRDefault="00681C9A" w:rsidP="00681C9A">
      <w:pPr>
        <w:pStyle w:val="ListParagraph"/>
        <w:numPr>
          <w:ilvl w:val="0"/>
          <w:numId w:val="11"/>
        </w:numPr>
        <w:ind w:left="426"/>
      </w:pPr>
      <w:r>
        <w:t>a</w:t>
      </w:r>
      <w:r w:rsidRPr="00681C9A">
        <w:t xml:space="preserve">nalysing whether the </w:t>
      </w:r>
      <w:r w:rsidR="0069417E">
        <w:t>current structur</w:t>
      </w:r>
      <w:r w:rsidR="00FB6DEF">
        <w:t xml:space="preserve">e </w:t>
      </w:r>
      <w:r w:rsidR="008340A0">
        <w:t xml:space="preserve">of </w:t>
      </w:r>
      <w:r w:rsidRPr="00681C9A">
        <w:t>co-payment</w:t>
      </w:r>
      <w:r w:rsidR="008340A0">
        <w:t>s</w:t>
      </w:r>
      <w:r w:rsidR="00BC2632">
        <w:t xml:space="preserve"> </w:t>
      </w:r>
      <w:r w:rsidR="0069417E">
        <w:t xml:space="preserve">may breach concepts of </w:t>
      </w:r>
      <w:proofErr w:type="gramStart"/>
      <w:r w:rsidR="0069417E">
        <w:t>high quality</w:t>
      </w:r>
      <w:proofErr w:type="gramEnd"/>
      <w:r w:rsidR="0069417E">
        <w:t xml:space="preserve"> care and</w:t>
      </w:r>
      <w:r w:rsidR="00FB6DEF">
        <w:t xml:space="preserve">/or see </w:t>
      </w:r>
      <w:r w:rsidR="00BC2632">
        <w:t>people</w:t>
      </w:r>
      <w:r w:rsidR="00FB6DEF">
        <w:t xml:space="preserve"> move</w:t>
      </w:r>
      <w:r w:rsidR="00BC2632">
        <w:t xml:space="preserve"> prematurely into </w:t>
      </w:r>
      <w:r w:rsidRPr="00681C9A">
        <w:t>residential aged care</w:t>
      </w:r>
    </w:p>
    <w:p w14:paraId="3544E9CE" w14:textId="0BC623AC" w:rsidR="003D7280" w:rsidRDefault="00FB6DEF" w:rsidP="00681C9A">
      <w:pPr>
        <w:pStyle w:val="ListParagraph"/>
        <w:numPr>
          <w:ilvl w:val="0"/>
          <w:numId w:val="11"/>
        </w:numPr>
        <w:ind w:left="426"/>
      </w:pPr>
      <w:r>
        <w:t>addressing inequity</w:t>
      </w:r>
      <w:r w:rsidR="00516C58">
        <w:t xml:space="preserve"> between</w:t>
      </w:r>
      <w:r>
        <w:t xml:space="preserve"> the specialised, tailored</w:t>
      </w:r>
      <w:r w:rsidR="00516C58">
        <w:t xml:space="preserve"> support for older people with disability </w:t>
      </w:r>
      <w:r w:rsidR="00943769">
        <w:t>through the aged care system and under the NDIS</w:t>
      </w:r>
    </w:p>
    <w:p w14:paraId="75E01FBE" w14:textId="217DE20C" w:rsidR="00AE46C9" w:rsidRPr="00681C9A" w:rsidRDefault="00614E4F" w:rsidP="00681C9A">
      <w:pPr>
        <w:pStyle w:val="ListParagraph"/>
        <w:numPr>
          <w:ilvl w:val="0"/>
          <w:numId w:val="11"/>
        </w:numPr>
        <w:ind w:left="426"/>
      </w:pPr>
      <w:r>
        <w:t>evaluating whether prognosis-based criteria for</w:t>
      </w:r>
      <w:r w:rsidR="007C3063">
        <w:t xml:space="preserve"> eligibility to</w:t>
      </w:r>
      <w:r>
        <w:t xml:space="preserve"> palliative care</w:t>
      </w:r>
      <w:r w:rsidR="007C3063">
        <w:t xml:space="preserve"> pathways</w:t>
      </w:r>
      <w:r>
        <w:t xml:space="preserve"> in residential and home care</w:t>
      </w:r>
      <w:r w:rsidR="008B0F83">
        <w:t xml:space="preserve"> is unnecessarily restricting access to support</w:t>
      </w:r>
      <w:r w:rsidR="00B54F5B">
        <w:t>.</w:t>
      </w:r>
    </w:p>
    <w:p w14:paraId="496284AD" w14:textId="31C21794" w:rsidR="00CF124C" w:rsidRPr="00681C9A" w:rsidRDefault="00CF124C" w:rsidP="00CF124C">
      <w:pPr>
        <w:spacing w:after="0"/>
        <w:ind w:left="66"/>
      </w:pPr>
      <w:r>
        <w:t xml:space="preserve">In the long term the </w:t>
      </w:r>
      <w:r w:rsidR="005A42CC">
        <w:t xml:space="preserve">Inspector-General </w:t>
      </w:r>
      <w:r w:rsidR="007064B8">
        <w:t xml:space="preserve">sees both older people and </w:t>
      </w:r>
      <w:r w:rsidR="00F83B81">
        <w:t>governments</w:t>
      </w:r>
      <w:r w:rsidR="007064B8">
        <w:t xml:space="preserve"> a</w:t>
      </w:r>
      <w:r w:rsidR="00F83B81">
        <w:t>c</w:t>
      </w:r>
      <w:r w:rsidR="007064B8">
        <w:t>ross the country benefitting from</w:t>
      </w:r>
      <w:r>
        <w:t>:</w:t>
      </w:r>
    </w:p>
    <w:p w14:paraId="49E30814" w14:textId="70648894" w:rsidR="007002B3" w:rsidRDefault="00E55461" w:rsidP="00681C9A">
      <w:pPr>
        <w:pStyle w:val="ListParagraph"/>
        <w:numPr>
          <w:ilvl w:val="0"/>
          <w:numId w:val="7"/>
        </w:numPr>
        <w:ind w:left="426"/>
      </w:pPr>
      <w:r>
        <w:t xml:space="preserve">concerted action </w:t>
      </w:r>
      <w:r w:rsidR="00581BD3">
        <w:t>on the</w:t>
      </w:r>
      <w:r w:rsidR="007064B8">
        <w:t xml:space="preserve"> </w:t>
      </w:r>
      <w:r>
        <w:t>health</w:t>
      </w:r>
      <w:r w:rsidR="00581BD3">
        <w:t xml:space="preserve">/hospital/aged care interface </w:t>
      </w:r>
      <w:r w:rsidR="00B2079C">
        <w:t>to avoid people needing to</w:t>
      </w:r>
      <w:r w:rsidR="00A81971">
        <w:t xml:space="preserve"> prematurely </w:t>
      </w:r>
      <w:r w:rsidR="00B2079C">
        <w:t>enter</w:t>
      </w:r>
      <w:r w:rsidR="00A81971">
        <w:t xml:space="preserve"> residential aged care</w:t>
      </w:r>
    </w:p>
    <w:p w14:paraId="213BE952" w14:textId="5CC394BD" w:rsidR="00DE0018" w:rsidRDefault="00CF124C" w:rsidP="002830C5">
      <w:pPr>
        <w:pStyle w:val="ListParagraph"/>
        <w:numPr>
          <w:ilvl w:val="0"/>
          <w:numId w:val="7"/>
        </w:numPr>
        <w:ind w:left="426"/>
      </w:pPr>
      <w:r>
        <w:t xml:space="preserve">sustainable improvement of the </w:t>
      </w:r>
      <w:r w:rsidR="00681C9A" w:rsidRPr="00681C9A">
        <w:t>workforce</w:t>
      </w:r>
      <w:r>
        <w:t>, including</w:t>
      </w:r>
      <w:r w:rsidR="004E7CAD">
        <w:t xml:space="preserve"> minimum skill sets, attributes,</w:t>
      </w:r>
      <w:r w:rsidR="00681C9A" w:rsidRPr="00681C9A">
        <w:t xml:space="preserve"> quality</w:t>
      </w:r>
      <w:r>
        <w:t>, development and sector growth.</w:t>
      </w:r>
    </w:p>
    <w:p w14:paraId="2011F5BC" w14:textId="77777777" w:rsidR="008E74C3" w:rsidRDefault="008E74C3" w:rsidP="008E74C3"/>
    <w:sectPr w:rsidR="008E74C3" w:rsidSect="00F83B7E">
      <w:headerReference w:type="default" r:id="rId11"/>
      <w:headerReference w:type="first" r:id="rId12"/>
      <w:pgSz w:w="11906" w:h="16838"/>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52CD" w14:textId="77777777" w:rsidR="002379D6" w:rsidRDefault="002379D6" w:rsidP="00B42394">
      <w:pPr>
        <w:spacing w:after="0" w:line="240" w:lineRule="auto"/>
      </w:pPr>
      <w:r>
        <w:separator/>
      </w:r>
    </w:p>
  </w:endnote>
  <w:endnote w:type="continuationSeparator" w:id="0">
    <w:p w14:paraId="3AEF4515" w14:textId="77777777" w:rsidR="002379D6" w:rsidRDefault="002379D6" w:rsidP="00B42394">
      <w:pPr>
        <w:spacing w:after="0" w:line="240" w:lineRule="auto"/>
      </w:pPr>
      <w:r>
        <w:continuationSeparator/>
      </w:r>
    </w:p>
  </w:endnote>
  <w:endnote w:type="continuationNotice" w:id="1">
    <w:p w14:paraId="342F78F1" w14:textId="77777777" w:rsidR="002379D6" w:rsidRDefault="00237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395A" w14:textId="77777777" w:rsidR="002379D6" w:rsidRDefault="002379D6" w:rsidP="00B42394">
      <w:pPr>
        <w:spacing w:after="0" w:line="240" w:lineRule="auto"/>
      </w:pPr>
      <w:r>
        <w:separator/>
      </w:r>
    </w:p>
  </w:footnote>
  <w:footnote w:type="continuationSeparator" w:id="0">
    <w:p w14:paraId="057E3121" w14:textId="77777777" w:rsidR="002379D6" w:rsidRDefault="002379D6" w:rsidP="00B42394">
      <w:pPr>
        <w:spacing w:after="0" w:line="240" w:lineRule="auto"/>
      </w:pPr>
      <w:r>
        <w:continuationSeparator/>
      </w:r>
    </w:p>
  </w:footnote>
  <w:footnote w:type="continuationNotice" w:id="1">
    <w:p w14:paraId="1A357AA9" w14:textId="77777777" w:rsidR="002379D6" w:rsidRDefault="00237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C1D8" w14:textId="2D0BDEDD" w:rsidR="00B42394" w:rsidRDefault="00B42394">
    <w:pPr>
      <w:pStyle w:val="Header"/>
    </w:pPr>
    <w:r>
      <w:rPr>
        <w:noProof/>
      </w:rPr>
      <w:drawing>
        <wp:anchor distT="0" distB="0" distL="114300" distR="114300" simplePos="0" relativeHeight="251658241" behindDoc="0" locked="0" layoutInCell="1" allowOverlap="1" wp14:anchorId="42B30AB2" wp14:editId="4B6C20D0">
          <wp:simplePos x="0" y="0"/>
          <wp:positionH relativeFrom="column">
            <wp:posOffset>-714375</wp:posOffset>
          </wp:positionH>
          <wp:positionV relativeFrom="paragraph">
            <wp:posOffset>-278130</wp:posOffset>
          </wp:positionV>
          <wp:extent cx="585470" cy="591185"/>
          <wp:effectExtent l="0" t="0" r="5080" b="0"/>
          <wp:wrapSquare wrapText="bothSides"/>
          <wp:docPr id="394581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911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46F9" w14:textId="391C4761" w:rsidR="00B42394" w:rsidRDefault="00B42394">
    <w:pPr>
      <w:pStyle w:val="Header"/>
    </w:pPr>
    <w:r>
      <w:rPr>
        <w:noProof/>
      </w:rPr>
      <w:drawing>
        <wp:anchor distT="0" distB="0" distL="114300" distR="114300" simplePos="0" relativeHeight="251658240" behindDoc="0" locked="0" layoutInCell="1" allowOverlap="1" wp14:anchorId="0CEB1AAD" wp14:editId="20776B58">
          <wp:simplePos x="0" y="0"/>
          <wp:positionH relativeFrom="column">
            <wp:posOffset>-905510</wp:posOffset>
          </wp:positionH>
          <wp:positionV relativeFrom="paragraph">
            <wp:posOffset>-440055</wp:posOffset>
          </wp:positionV>
          <wp:extent cx="8077835" cy="935990"/>
          <wp:effectExtent l="0" t="0" r="0" b="0"/>
          <wp:wrapSquare wrapText="bothSides"/>
          <wp:docPr id="125456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835"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6E0C"/>
    <w:multiLevelType w:val="hybridMultilevel"/>
    <w:tmpl w:val="47D2D0F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661706"/>
    <w:multiLevelType w:val="hybridMultilevel"/>
    <w:tmpl w:val="CAF825CC"/>
    <w:lvl w:ilvl="0" w:tplc="685634D8">
      <w:start w:val="1"/>
      <w:numFmt w:val="decimal"/>
      <w:lvlText w:val="%1."/>
      <w:lvlJc w:val="left"/>
      <w:pPr>
        <w:tabs>
          <w:tab w:val="num" w:pos="720"/>
        </w:tabs>
        <w:ind w:left="720" w:hanging="360"/>
      </w:pPr>
    </w:lvl>
    <w:lvl w:ilvl="1" w:tplc="97B0E22E" w:tentative="1">
      <w:start w:val="1"/>
      <w:numFmt w:val="decimal"/>
      <w:lvlText w:val="%2."/>
      <w:lvlJc w:val="left"/>
      <w:pPr>
        <w:tabs>
          <w:tab w:val="num" w:pos="1440"/>
        </w:tabs>
        <w:ind w:left="1440" w:hanging="360"/>
      </w:pPr>
    </w:lvl>
    <w:lvl w:ilvl="2" w:tplc="859E68BC" w:tentative="1">
      <w:start w:val="1"/>
      <w:numFmt w:val="decimal"/>
      <w:lvlText w:val="%3."/>
      <w:lvlJc w:val="left"/>
      <w:pPr>
        <w:tabs>
          <w:tab w:val="num" w:pos="2160"/>
        </w:tabs>
        <w:ind w:left="2160" w:hanging="360"/>
      </w:pPr>
    </w:lvl>
    <w:lvl w:ilvl="3" w:tplc="6B16932E" w:tentative="1">
      <w:start w:val="1"/>
      <w:numFmt w:val="decimal"/>
      <w:lvlText w:val="%4."/>
      <w:lvlJc w:val="left"/>
      <w:pPr>
        <w:tabs>
          <w:tab w:val="num" w:pos="2880"/>
        </w:tabs>
        <w:ind w:left="2880" w:hanging="360"/>
      </w:pPr>
    </w:lvl>
    <w:lvl w:ilvl="4" w:tplc="EAE60756" w:tentative="1">
      <w:start w:val="1"/>
      <w:numFmt w:val="decimal"/>
      <w:lvlText w:val="%5."/>
      <w:lvlJc w:val="left"/>
      <w:pPr>
        <w:tabs>
          <w:tab w:val="num" w:pos="3600"/>
        </w:tabs>
        <w:ind w:left="3600" w:hanging="360"/>
      </w:pPr>
    </w:lvl>
    <w:lvl w:ilvl="5" w:tplc="B008CC70" w:tentative="1">
      <w:start w:val="1"/>
      <w:numFmt w:val="decimal"/>
      <w:lvlText w:val="%6."/>
      <w:lvlJc w:val="left"/>
      <w:pPr>
        <w:tabs>
          <w:tab w:val="num" w:pos="4320"/>
        </w:tabs>
        <w:ind w:left="4320" w:hanging="360"/>
      </w:pPr>
    </w:lvl>
    <w:lvl w:ilvl="6" w:tplc="884650C8" w:tentative="1">
      <w:start w:val="1"/>
      <w:numFmt w:val="decimal"/>
      <w:lvlText w:val="%7."/>
      <w:lvlJc w:val="left"/>
      <w:pPr>
        <w:tabs>
          <w:tab w:val="num" w:pos="5040"/>
        </w:tabs>
        <w:ind w:left="5040" w:hanging="360"/>
      </w:pPr>
    </w:lvl>
    <w:lvl w:ilvl="7" w:tplc="6A3872D4" w:tentative="1">
      <w:start w:val="1"/>
      <w:numFmt w:val="decimal"/>
      <w:lvlText w:val="%8."/>
      <w:lvlJc w:val="left"/>
      <w:pPr>
        <w:tabs>
          <w:tab w:val="num" w:pos="5760"/>
        </w:tabs>
        <w:ind w:left="5760" w:hanging="360"/>
      </w:pPr>
    </w:lvl>
    <w:lvl w:ilvl="8" w:tplc="AE94FA24" w:tentative="1">
      <w:start w:val="1"/>
      <w:numFmt w:val="decimal"/>
      <w:lvlText w:val="%9."/>
      <w:lvlJc w:val="left"/>
      <w:pPr>
        <w:tabs>
          <w:tab w:val="num" w:pos="6480"/>
        </w:tabs>
        <w:ind w:left="6480" w:hanging="360"/>
      </w:pPr>
    </w:lvl>
  </w:abstractNum>
  <w:abstractNum w:abstractNumId="2" w15:restartNumberingAfterBreak="0">
    <w:nsid w:val="215F778F"/>
    <w:multiLevelType w:val="hybridMultilevel"/>
    <w:tmpl w:val="0E8A2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133CCD"/>
    <w:multiLevelType w:val="hybridMultilevel"/>
    <w:tmpl w:val="4DF408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50467E"/>
    <w:multiLevelType w:val="hybridMultilevel"/>
    <w:tmpl w:val="F5765D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302415"/>
    <w:multiLevelType w:val="hybridMultilevel"/>
    <w:tmpl w:val="0A34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E0492"/>
    <w:multiLevelType w:val="hybridMultilevel"/>
    <w:tmpl w:val="18E80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85680E"/>
    <w:multiLevelType w:val="hybridMultilevel"/>
    <w:tmpl w:val="70107230"/>
    <w:lvl w:ilvl="0" w:tplc="0686A0A8">
      <w:start w:val="1"/>
      <w:numFmt w:val="decimal"/>
      <w:lvlText w:val="%1."/>
      <w:lvlJc w:val="left"/>
      <w:pPr>
        <w:tabs>
          <w:tab w:val="num" w:pos="720"/>
        </w:tabs>
        <w:ind w:left="720" w:hanging="360"/>
      </w:pPr>
    </w:lvl>
    <w:lvl w:ilvl="1" w:tplc="EDCE8C88" w:tentative="1">
      <w:start w:val="1"/>
      <w:numFmt w:val="decimal"/>
      <w:lvlText w:val="%2."/>
      <w:lvlJc w:val="left"/>
      <w:pPr>
        <w:tabs>
          <w:tab w:val="num" w:pos="1440"/>
        </w:tabs>
        <w:ind w:left="1440" w:hanging="360"/>
      </w:pPr>
    </w:lvl>
    <w:lvl w:ilvl="2" w:tplc="BD201C4C" w:tentative="1">
      <w:start w:val="1"/>
      <w:numFmt w:val="decimal"/>
      <w:lvlText w:val="%3."/>
      <w:lvlJc w:val="left"/>
      <w:pPr>
        <w:tabs>
          <w:tab w:val="num" w:pos="2160"/>
        </w:tabs>
        <w:ind w:left="2160" w:hanging="360"/>
      </w:pPr>
    </w:lvl>
    <w:lvl w:ilvl="3" w:tplc="12BE6FAC" w:tentative="1">
      <w:start w:val="1"/>
      <w:numFmt w:val="decimal"/>
      <w:lvlText w:val="%4."/>
      <w:lvlJc w:val="left"/>
      <w:pPr>
        <w:tabs>
          <w:tab w:val="num" w:pos="2880"/>
        </w:tabs>
        <w:ind w:left="2880" w:hanging="360"/>
      </w:pPr>
    </w:lvl>
    <w:lvl w:ilvl="4" w:tplc="8EA49314" w:tentative="1">
      <w:start w:val="1"/>
      <w:numFmt w:val="decimal"/>
      <w:lvlText w:val="%5."/>
      <w:lvlJc w:val="left"/>
      <w:pPr>
        <w:tabs>
          <w:tab w:val="num" w:pos="3600"/>
        </w:tabs>
        <w:ind w:left="3600" w:hanging="360"/>
      </w:pPr>
    </w:lvl>
    <w:lvl w:ilvl="5" w:tplc="0B7AC3A0" w:tentative="1">
      <w:start w:val="1"/>
      <w:numFmt w:val="decimal"/>
      <w:lvlText w:val="%6."/>
      <w:lvlJc w:val="left"/>
      <w:pPr>
        <w:tabs>
          <w:tab w:val="num" w:pos="4320"/>
        </w:tabs>
        <w:ind w:left="4320" w:hanging="360"/>
      </w:pPr>
    </w:lvl>
    <w:lvl w:ilvl="6" w:tplc="619C0676" w:tentative="1">
      <w:start w:val="1"/>
      <w:numFmt w:val="decimal"/>
      <w:lvlText w:val="%7."/>
      <w:lvlJc w:val="left"/>
      <w:pPr>
        <w:tabs>
          <w:tab w:val="num" w:pos="5040"/>
        </w:tabs>
        <w:ind w:left="5040" w:hanging="360"/>
      </w:pPr>
    </w:lvl>
    <w:lvl w:ilvl="7" w:tplc="342CC3FA" w:tentative="1">
      <w:start w:val="1"/>
      <w:numFmt w:val="decimal"/>
      <w:lvlText w:val="%8."/>
      <w:lvlJc w:val="left"/>
      <w:pPr>
        <w:tabs>
          <w:tab w:val="num" w:pos="5760"/>
        </w:tabs>
        <w:ind w:left="5760" w:hanging="360"/>
      </w:pPr>
    </w:lvl>
    <w:lvl w:ilvl="8" w:tplc="F57ACBAA" w:tentative="1">
      <w:start w:val="1"/>
      <w:numFmt w:val="decimal"/>
      <w:lvlText w:val="%9."/>
      <w:lvlJc w:val="left"/>
      <w:pPr>
        <w:tabs>
          <w:tab w:val="num" w:pos="6480"/>
        </w:tabs>
        <w:ind w:left="6480" w:hanging="360"/>
      </w:pPr>
    </w:lvl>
  </w:abstractNum>
  <w:abstractNum w:abstractNumId="8" w15:restartNumberingAfterBreak="0">
    <w:nsid w:val="43F71408"/>
    <w:multiLevelType w:val="hybridMultilevel"/>
    <w:tmpl w:val="6CD0FCC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8663F87"/>
    <w:multiLevelType w:val="hybridMultilevel"/>
    <w:tmpl w:val="D500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3C1196"/>
    <w:multiLevelType w:val="hybridMultilevel"/>
    <w:tmpl w:val="C988E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F32949"/>
    <w:multiLevelType w:val="hybridMultilevel"/>
    <w:tmpl w:val="27A8CC32"/>
    <w:lvl w:ilvl="0" w:tplc="1400BFB4">
      <w:start w:val="1"/>
      <w:numFmt w:val="decimal"/>
      <w:lvlText w:val="%1."/>
      <w:lvlJc w:val="left"/>
      <w:pPr>
        <w:tabs>
          <w:tab w:val="num" w:pos="720"/>
        </w:tabs>
        <w:ind w:left="720" w:hanging="360"/>
      </w:pPr>
    </w:lvl>
    <w:lvl w:ilvl="1" w:tplc="D8E4268E" w:tentative="1">
      <w:start w:val="1"/>
      <w:numFmt w:val="decimal"/>
      <w:lvlText w:val="%2."/>
      <w:lvlJc w:val="left"/>
      <w:pPr>
        <w:tabs>
          <w:tab w:val="num" w:pos="1440"/>
        </w:tabs>
        <w:ind w:left="1440" w:hanging="360"/>
      </w:pPr>
    </w:lvl>
    <w:lvl w:ilvl="2" w:tplc="927AE122" w:tentative="1">
      <w:start w:val="1"/>
      <w:numFmt w:val="decimal"/>
      <w:lvlText w:val="%3."/>
      <w:lvlJc w:val="left"/>
      <w:pPr>
        <w:tabs>
          <w:tab w:val="num" w:pos="2160"/>
        </w:tabs>
        <w:ind w:left="2160" w:hanging="360"/>
      </w:pPr>
    </w:lvl>
    <w:lvl w:ilvl="3" w:tplc="9B30F606" w:tentative="1">
      <w:start w:val="1"/>
      <w:numFmt w:val="decimal"/>
      <w:lvlText w:val="%4."/>
      <w:lvlJc w:val="left"/>
      <w:pPr>
        <w:tabs>
          <w:tab w:val="num" w:pos="2880"/>
        </w:tabs>
        <w:ind w:left="2880" w:hanging="360"/>
      </w:pPr>
    </w:lvl>
    <w:lvl w:ilvl="4" w:tplc="F2F65A4E" w:tentative="1">
      <w:start w:val="1"/>
      <w:numFmt w:val="decimal"/>
      <w:lvlText w:val="%5."/>
      <w:lvlJc w:val="left"/>
      <w:pPr>
        <w:tabs>
          <w:tab w:val="num" w:pos="3600"/>
        </w:tabs>
        <w:ind w:left="3600" w:hanging="360"/>
      </w:pPr>
    </w:lvl>
    <w:lvl w:ilvl="5" w:tplc="BAF025AE" w:tentative="1">
      <w:start w:val="1"/>
      <w:numFmt w:val="decimal"/>
      <w:lvlText w:val="%6."/>
      <w:lvlJc w:val="left"/>
      <w:pPr>
        <w:tabs>
          <w:tab w:val="num" w:pos="4320"/>
        </w:tabs>
        <w:ind w:left="4320" w:hanging="360"/>
      </w:pPr>
    </w:lvl>
    <w:lvl w:ilvl="6" w:tplc="D268A00E" w:tentative="1">
      <w:start w:val="1"/>
      <w:numFmt w:val="decimal"/>
      <w:lvlText w:val="%7."/>
      <w:lvlJc w:val="left"/>
      <w:pPr>
        <w:tabs>
          <w:tab w:val="num" w:pos="5040"/>
        </w:tabs>
        <w:ind w:left="5040" w:hanging="360"/>
      </w:pPr>
    </w:lvl>
    <w:lvl w:ilvl="7" w:tplc="D1C2C0FC" w:tentative="1">
      <w:start w:val="1"/>
      <w:numFmt w:val="decimal"/>
      <w:lvlText w:val="%8."/>
      <w:lvlJc w:val="left"/>
      <w:pPr>
        <w:tabs>
          <w:tab w:val="num" w:pos="5760"/>
        </w:tabs>
        <w:ind w:left="5760" w:hanging="360"/>
      </w:pPr>
    </w:lvl>
    <w:lvl w:ilvl="8" w:tplc="0D92DEAE" w:tentative="1">
      <w:start w:val="1"/>
      <w:numFmt w:val="decimal"/>
      <w:lvlText w:val="%9."/>
      <w:lvlJc w:val="left"/>
      <w:pPr>
        <w:tabs>
          <w:tab w:val="num" w:pos="6480"/>
        </w:tabs>
        <w:ind w:left="6480" w:hanging="360"/>
      </w:pPr>
    </w:lvl>
  </w:abstractNum>
  <w:abstractNum w:abstractNumId="12" w15:restartNumberingAfterBreak="0">
    <w:nsid w:val="774C6459"/>
    <w:multiLevelType w:val="hybridMultilevel"/>
    <w:tmpl w:val="D676F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36884248">
    <w:abstractNumId w:val="6"/>
  </w:num>
  <w:num w:numId="2" w16cid:durableId="2116359006">
    <w:abstractNumId w:val="8"/>
  </w:num>
  <w:num w:numId="3" w16cid:durableId="1049379727">
    <w:abstractNumId w:val="4"/>
  </w:num>
  <w:num w:numId="4" w16cid:durableId="435370908">
    <w:abstractNumId w:val="11"/>
  </w:num>
  <w:num w:numId="5" w16cid:durableId="1376084366">
    <w:abstractNumId w:val="9"/>
  </w:num>
  <w:num w:numId="6" w16cid:durableId="29769601">
    <w:abstractNumId w:val="12"/>
  </w:num>
  <w:num w:numId="7" w16cid:durableId="1127353865">
    <w:abstractNumId w:val="5"/>
  </w:num>
  <w:num w:numId="8" w16cid:durableId="1158300043">
    <w:abstractNumId w:val="0"/>
  </w:num>
  <w:num w:numId="9" w16cid:durableId="1986085539">
    <w:abstractNumId w:val="1"/>
  </w:num>
  <w:num w:numId="10" w16cid:durableId="1250386637">
    <w:abstractNumId w:val="3"/>
  </w:num>
  <w:num w:numId="11" w16cid:durableId="1998262386">
    <w:abstractNumId w:val="2"/>
  </w:num>
  <w:num w:numId="12" w16cid:durableId="2011591417">
    <w:abstractNumId w:val="7"/>
  </w:num>
  <w:num w:numId="13" w16cid:durableId="2082485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5"/>
    <w:rsid w:val="00001C1A"/>
    <w:rsid w:val="00002556"/>
    <w:rsid w:val="00003555"/>
    <w:rsid w:val="00007E54"/>
    <w:rsid w:val="00010E8D"/>
    <w:rsid w:val="00011613"/>
    <w:rsid w:val="0001689D"/>
    <w:rsid w:val="000175A7"/>
    <w:rsid w:val="00017768"/>
    <w:rsid w:val="00020A7C"/>
    <w:rsid w:val="00022A93"/>
    <w:rsid w:val="00022CFE"/>
    <w:rsid w:val="0003463C"/>
    <w:rsid w:val="000361F9"/>
    <w:rsid w:val="000407D3"/>
    <w:rsid w:val="000423D0"/>
    <w:rsid w:val="00043E1A"/>
    <w:rsid w:val="000442C4"/>
    <w:rsid w:val="00045D96"/>
    <w:rsid w:val="00047066"/>
    <w:rsid w:val="00056B41"/>
    <w:rsid w:val="000603E1"/>
    <w:rsid w:val="00063E34"/>
    <w:rsid w:val="00065BF6"/>
    <w:rsid w:val="000668E6"/>
    <w:rsid w:val="00073E08"/>
    <w:rsid w:val="00080147"/>
    <w:rsid w:val="0008107A"/>
    <w:rsid w:val="00082B85"/>
    <w:rsid w:val="000A2CAF"/>
    <w:rsid w:val="000B0130"/>
    <w:rsid w:val="000B1DB1"/>
    <w:rsid w:val="000B343B"/>
    <w:rsid w:val="000B66B8"/>
    <w:rsid w:val="000B68F7"/>
    <w:rsid w:val="000B6E8D"/>
    <w:rsid w:val="000C1FAF"/>
    <w:rsid w:val="000C28A9"/>
    <w:rsid w:val="000C38FF"/>
    <w:rsid w:val="000C51D7"/>
    <w:rsid w:val="000C5FCD"/>
    <w:rsid w:val="000D72AC"/>
    <w:rsid w:val="000E3D90"/>
    <w:rsid w:val="000E4785"/>
    <w:rsid w:val="000E71DB"/>
    <w:rsid w:val="000F3344"/>
    <w:rsid w:val="000F4B88"/>
    <w:rsid w:val="000F526C"/>
    <w:rsid w:val="0010051B"/>
    <w:rsid w:val="00101E67"/>
    <w:rsid w:val="001048B1"/>
    <w:rsid w:val="001175B1"/>
    <w:rsid w:val="00117E8F"/>
    <w:rsid w:val="00121435"/>
    <w:rsid w:val="0012156B"/>
    <w:rsid w:val="00123036"/>
    <w:rsid w:val="00123293"/>
    <w:rsid w:val="00123EFF"/>
    <w:rsid w:val="001242E6"/>
    <w:rsid w:val="00142218"/>
    <w:rsid w:val="00143B83"/>
    <w:rsid w:val="00145403"/>
    <w:rsid w:val="00147725"/>
    <w:rsid w:val="00151452"/>
    <w:rsid w:val="00151F35"/>
    <w:rsid w:val="001537C1"/>
    <w:rsid w:val="00154E1D"/>
    <w:rsid w:val="0016183D"/>
    <w:rsid w:val="00162FA4"/>
    <w:rsid w:val="001659B3"/>
    <w:rsid w:val="001661F0"/>
    <w:rsid w:val="0016664F"/>
    <w:rsid w:val="001708BD"/>
    <w:rsid w:val="00172AA2"/>
    <w:rsid w:val="00173563"/>
    <w:rsid w:val="00174D6A"/>
    <w:rsid w:val="001752AA"/>
    <w:rsid w:val="00184180"/>
    <w:rsid w:val="00185065"/>
    <w:rsid w:val="00185C88"/>
    <w:rsid w:val="00186179"/>
    <w:rsid w:val="0019273E"/>
    <w:rsid w:val="00194763"/>
    <w:rsid w:val="001A3276"/>
    <w:rsid w:val="001A4693"/>
    <w:rsid w:val="001A544F"/>
    <w:rsid w:val="001A7990"/>
    <w:rsid w:val="001B2E76"/>
    <w:rsid w:val="001B5484"/>
    <w:rsid w:val="001C04AB"/>
    <w:rsid w:val="001C2F0D"/>
    <w:rsid w:val="001C4524"/>
    <w:rsid w:val="001C4A8A"/>
    <w:rsid w:val="001D1E8F"/>
    <w:rsid w:val="001E141E"/>
    <w:rsid w:val="001E192B"/>
    <w:rsid w:val="001E3860"/>
    <w:rsid w:val="001E4096"/>
    <w:rsid w:val="001E6AF1"/>
    <w:rsid w:val="002077DA"/>
    <w:rsid w:val="00213BC9"/>
    <w:rsid w:val="00215D63"/>
    <w:rsid w:val="0022299E"/>
    <w:rsid w:val="0022303D"/>
    <w:rsid w:val="00224474"/>
    <w:rsid w:val="00224C77"/>
    <w:rsid w:val="00226539"/>
    <w:rsid w:val="002266EC"/>
    <w:rsid w:val="00226994"/>
    <w:rsid w:val="002333E6"/>
    <w:rsid w:val="0023754A"/>
    <w:rsid w:val="002379D6"/>
    <w:rsid w:val="00246320"/>
    <w:rsid w:val="00246F01"/>
    <w:rsid w:val="00256BBD"/>
    <w:rsid w:val="0026591D"/>
    <w:rsid w:val="002742CE"/>
    <w:rsid w:val="00274A10"/>
    <w:rsid w:val="002758C4"/>
    <w:rsid w:val="0027648E"/>
    <w:rsid w:val="00280E31"/>
    <w:rsid w:val="002830C5"/>
    <w:rsid w:val="002835C2"/>
    <w:rsid w:val="002841F3"/>
    <w:rsid w:val="00284F56"/>
    <w:rsid w:val="0028510A"/>
    <w:rsid w:val="002A3AF8"/>
    <w:rsid w:val="002A4579"/>
    <w:rsid w:val="002B35F5"/>
    <w:rsid w:val="002B3B35"/>
    <w:rsid w:val="002B713E"/>
    <w:rsid w:val="002B7D66"/>
    <w:rsid w:val="002C293D"/>
    <w:rsid w:val="002C4260"/>
    <w:rsid w:val="002C56A6"/>
    <w:rsid w:val="002C75D4"/>
    <w:rsid w:val="002D287C"/>
    <w:rsid w:val="002D3A54"/>
    <w:rsid w:val="002D559E"/>
    <w:rsid w:val="002D5B0E"/>
    <w:rsid w:val="002E3682"/>
    <w:rsid w:val="002E61FF"/>
    <w:rsid w:val="002E7775"/>
    <w:rsid w:val="002F5B99"/>
    <w:rsid w:val="002F6B68"/>
    <w:rsid w:val="002F7D56"/>
    <w:rsid w:val="0030533C"/>
    <w:rsid w:val="00307C95"/>
    <w:rsid w:val="003122D0"/>
    <w:rsid w:val="00322048"/>
    <w:rsid w:val="00324032"/>
    <w:rsid w:val="003257CF"/>
    <w:rsid w:val="00325F16"/>
    <w:rsid w:val="003345CA"/>
    <w:rsid w:val="00336F31"/>
    <w:rsid w:val="003411D0"/>
    <w:rsid w:val="003430C2"/>
    <w:rsid w:val="0035092D"/>
    <w:rsid w:val="00355FBF"/>
    <w:rsid w:val="0036171B"/>
    <w:rsid w:val="00362B26"/>
    <w:rsid w:val="00364852"/>
    <w:rsid w:val="00366571"/>
    <w:rsid w:val="00367610"/>
    <w:rsid w:val="00371177"/>
    <w:rsid w:val="00372BC1"/>
    <w:rsid w:val="003732EB"/>
    <w:rsid w:val="00373ECE"/>
    <w:rsid w:val="00375215"/>
    <w:rsid w:val="00377095"/>
    <w:rsid w:val="00381C31"/>
    <w:rsid w:val="00382C60"/>
    <w:rsid w:val="0038401B"/>
    <w:rsid w:val="00387E9B"/>
    <w:rsid w:val="00391890"/>
    <w:rsid w:val="00397F84"/>
    <w:rsid w:val="003A3D9F"/>
    <w:rsid w:val="003A4CFD"/>
    <w:rsid w:val="003A6009"/>
    <w:rsid w:val="003B5BF3"/>
    <w:rsid w:val="003D1899"/>
    <w:rsid w:val="003D7280"/>
    <w:rsid w:val="003E30F5"/>
    <w:rsid w:val="003E37AA"/>
    <w:rsid w:val="003E6C9C"/>
    <w:rsid w:val="003F00D6"/>
    <w:rsid w:val="003F0393"/>
    <w:rsid w:val="0040088F"/>
    <w:rsid w:val="0040227F"/>
    <w:rsid w:val="00410AA2"/>
    <w:rsid w:val="004133EF"/>
    <w:rsid w:val="00416811"/>
    <w:rsid w:val="0041768D"/>
    <w:rsid w:val="00422D75"/>
    <w:rsid w:val="0043356B"/>
    <w:rsid w:val="00437B28"/>
    <w:rsid w:val="0044041C"/>
    <w:rsid w:val="00447DCB"/>
    <w:rsid w:val="0046134B"/>
    <w:rsid w:val="00461ADA"/>
    <w:rsid w:val="00464F00"/>
    <w:rsid w:val="00466562"/>
    <w:rsid w:val="004701FC"/>
    <w:rsid w:val="0047202A"/>
    <w:rsid w:val="0047648A"/>
    <w:rsid w:val="00480B3E"/>
    <w:rsid w:val="00480EF8"/>
    <w:rsid w:val="004817BA"/>
    <w:rsid w:val="00482F21"/>
    <w:rsid w:val="00484A8B"/>
    <w:rsid w:val="00486AFB"/>
    <w:rsid w:val="004875C0"/>
    <w:rsid w:val="00491029"/>
    <w:rsid w:val="004912B8"/>
    <w:rsid w:val="00492602"/>
    <w:rsid w:val="00493A67"/>
    <w:rsid w:val="00497094"/>
    <w:rsid w:val="004A06DA"/>
    <w:rsid w:val="004A1B1D"/>
    <w:rsid w:val="004A4BE3"/>
    <w:rsid w:val="004A4CD7"/>
    <w:rsid w:val="004B7256"/>
    <w:rsid w:val="004B7565"/>
    <w:rsid w:val="004C162C"/>
    <w:rsid w:val="004C4645"/>
    <w:rsid w:val="004E2A3A"/>
    <w:rsid w:val="004E5304"/>
    <w:rsid w:val="004E7CAD"/>
    <w:rsid w:val="004F3C16"/>
    <w:rsid w:val="004F619B"/>
    <w:rsid w:val="0050170C"/>
    <w:rsid w:val="00502214"/>
    <w:rsid w:val="005031FB"/>
    <w:rsid w:val="0050518D"/>
    <w:rsid w:val="005076EE"/>
    <w:rsid w:val="00510C4E"/>
    <w:rsid w:val="00511CCD"/>
    <w:rsid w:val="00516C58"/>
    <w:rsid w:val="00516C61"/>
    <w:rsid w:val="00517CBC"/>
    <w:rsid w:val="00532663"/>
    <w:rsid w:val="00532FDF"/>
    <w:rsid w:val="00534588"/>
    <w:rsid w:val="005400DB"/>
    <w:rsid w:val="00540B84"/>
    <w:rsid w:val="00540F1A"/>
    <w:rsid w:val="00543763"/>
    <w:rsid w:val="005443D6"/>
    <w:rsid w:val="0054557A"/>
    <w:rsid w:val="0054645E"/>
    <w:rsid w:val="00547857"/>
    <w:rsid w:val="00547934"/>
    <w:rsid w:val="00550365"/>
    <w:rsid w:val="00551584"/>
    <w:rsid w:val="0055380F"/>
    <w:rsid w:val="0055439B"/>
    <w:rsid w:val="00555D82"/>
    <w:rsid w:val="00557FCB"/>
    <w:rsid w:val="0056137F"/>
    <w:rsid w:val="005627B2"/>
    <w:rsid w:val="00562DD0"/>
    <w:rsid w:val="005648F6"/>
    <w:rsid w:val="00571D54"/>
    <w:rsid w:val="00577DBC"/>
    <w:rsid w:val="00581BD3"/>
    <w:rsid w:val="005920E9"/>
    <w:rsid w:val="00593334"/>
    <w:rsid w:val="00593AA4"/>
    <w:rsid w:val="0059553C"/>
    <w:rsid w:val="0059578D"/>
    <w:rsid w:val="005A19AC"/>
    <w:rsid w:val="005A42CC"/>
    <w:rsid w:val="005A4872"/>
    <w:rsid w:val="005B26AE"/>
    <w:rsid w:val="005C381A"/>
    <w:rsid w:val="005C6684"/>
    <w:rsid w:val="005D031B"/>
    <w:rsid w:val="005D084C"/>
    <w:rsid w:val="005D100E"/>
    <w:rsid w:val="005D3046"/>
    <w:rsid w:val="005D656F"/>
    <w:rsid w:val="005D7DFA"/>
    <w:rsid w:val="005E45B4"/>
    <w:rsid w:val="005E6AB0"/>
    <w:rsid w:val="005F5595"/>
    <w:rsid w:val="005F73E0"/>
    <w:rsid w:val="00602DCA"/>
    <w:rsid w:val="0060484A"/>
    <w:rsid w:val="0060731A"/>
    <w:rsid w:val="00611403"/>
    <w:rsid w:val="00614E4F"/>
    <w:rsid w:val="0062482C"/>
    <w:rsid w:val="00625E1C"/>
    <w:rsid w:val="00632081"/>
    <w:rsid w:val="00634606"/>
    <w:rsid w:val="00634F5B"/>
    <w:rsid w:val="00635058"/>
    <w:rsid w:val="006368BE"/>
    <w:rsid w:val="00641029"/>
    <w:rsid w:val="00641BBF"/>
    <w:rsid w:val="006432C9"/>
    <w:rsid w:val="006462DF"/>
    <w:rsid w:val="00647DC9"/>
    <w:rsid w:val="00661028"/>
    <w:rsid w:val="00661A88"/>
    <w:rsid w:val="0066317D"/>
    <w:rsid w:val="00663909"/>
    <w:rsid w:val="0066390C"/>
    <w:rsid w:val="0066656F"/>
    <w:rsid w:val="00666905"/>
    <w:rsid w:val="0067094B"/>
    <w:rsid w:val="00671E96"/>
    <w:rsid w:val="0068130F"/>
    <w:rsid w:val="00681C9A"/>
    <w:rsid w:val="0068773F"/>
    <w:rsid w:val="006918A3"/>
    <w:rsid w:val="006930C7"/>
    <w:rsid w:val="006938D5"/>
    <w:rsid w:val="0069417E"/>
    <w:rsid w:val="006950B7"/>
    <w:rsid w:val="006A556A"/>
    <w:rsid w:val="006B30D3"/>
    <w:rsid w:val="006B49DB"/>
    <w:rsid w:val="006B4C5B"/>
    <w:rsid w:val="006B6932"/>
    <w:rsid w:val="006C0225"/>
    <w:rsid w:val="006C140B"/>
    <w:rsid w:val="006C41D3"/>
    <w:rsid w:val="006C6299"/>
    <w:rsid w:val="006C6AB4"/>
    <w:rsid w:val="006C6AD9"/>
    <w:rsid w:val="006D02C1"/>
    <w:rsid w:val="006D111A"/>
    <w:rsid w:val="006E157F"/>
    <w:rsid w:val="006E1AD1"/>
    <w:rsid w:val="006E25A1"/>
    <w:rsid w:val="006E40C6"/>
    <w:rsid w:val="006E45FF"/>
    <w:rsid w:val="006E4F50"/>
    <w:rsid w:val="006F02FB"/>
    <w:rsid w:val="006F0387"/>
    <w:rsid w:val="006F13B4"/>
    <w:rsid w:val="006F2272"/>
    <w:rsid w:val="006F70BF"/>
    <w:rsid w:val="007002B3"/>
    <w:rsid w:val="007020F7"/>
    <w:rsid w:val="007031FC"/>
    <w:rsid w:val="0070590E"/>
    <w:rsid w:val="007064B8"/>
    <w:rsid w:val="00706BAA"/>
    <w:rsid w:val="00707152"/>
    <w:rsid w:val="00707C7C"/>
    <w:rsid w:val="0071717B"/>
    <w:rsid w:val="00717905"/>
    <w:rsid w:val="00720A3B"/>
    <w:rsid w:val="007245E1"/>
    <w:rsid w:val="007249A7"/>
    <w:rsid w:val="00730DAE"/>
    <w:rsid w:val="00731D6D"/>
    <w:rsid w:val="00733039"/>
    <w:rsid w:val="00734080"/>
    <w:rsid w:val="0073753C"/>
    <w:rsid w:val="00745935"/>
    <w:rsid w:val="0074635A"/>
    <w:rsid w:val="00750E04"/>
    <w:rsid w:val="00754BCB"/>
    <w:rsid w:val="00755585"/>
    <w:rsid w:val="007574EF"/>
    <w:rsid w:val="007575D4"/>
    <w:rsid w:val="00771313"/>
    <w:rsid w:val="00775020"/>
    <w:rsid w:val="00775CBB"/>
    <w:rsid w:val="00777C0C"/>
    <w:rsid w:val="00782194"/>
    <w:rsid w:val="007841FB"/>
    <w:rsid w:val="00784677"/>
    <w:rsid w:val="007A59AC"/>
    <w:rsid w:val="007A6B9E"/>
    <w:rsid w:val="007A7F2D"/>
    <w:rsid w:val="007C3063"/>
    <w:rsid w:val="007C6FAD"/>
    <w:rsid w:val="007D30A5"/>
    <w:rsid w:val="007D6C7F"/>
    <w:rsid w:val="007D7C2F"/>
    <w:rsid w:val="007E3902"/>
    <w:rsid w:val="007E3C14"/>
    <w:rsid w:val="007F060F"/>
    <w:rsid w:val="007F3BBB"/>
    <w:rsid w:val="007F68B5"/>
    <w:rsid w:val="00802869"/>
    <w:rsid w:val="008031EA"/>
    <w:rsid w:val="00815E11"/>
    <w:rsid w:val="008206DB"/>
    <w:rsid w:val="0082332A"/>
    <w:rsid w:val="00823AA4"/>
    <w:rsid w:val="008259E3"/>
    <w:rsid w:val="00825A5B"/>
    <w:rsid w:val="008279BB"/>
    <w:rsid w:val="008312A4"/>
    <w:rsid w:val="008332C9"/>
    <w:rsid w:val="008340A0"/>
    <w:rsid w:val="008408C7"/>
    <w:rsid w:val="008416FD"/>
    <w:rsid w:val="00856BF7"/>
    <w:rsid w:val="00863EC6"/>
    <w:rsid w:val="00866411"/>
    <w:rsid w:val="00870C90"/>
    <w:rsid w:val="008741C0"/>
    <w:rsid w:val="00884517"/>
    <w:rsid w:val="0088621E"/>
    <w:rsid w:val="008869AE"/>
    <w:rsid w:val="0088788F"/>
    <w:rsid w:val="00887C1F"/>
    <w:rsid w:val="008979D2"/>
    <w:rsid w:val="008A1146"/>
    <w:rsid w:val="008A6F10"/>
    <w:rsid w:val="008A7AFF"/>
    <w:rsid w:val="008B0F83"/>
    <w:rsid w:val="008B1C14"/>
    <w:rsid w:val="008B2180"/>
    <w:rsid w:val="008B2718"/>
    <w:rsid w:val="008B5513"/>
    <w:rsid w:val="008C0815"/>
    <w:rsid w:val="008C1E15"/>
    <w:rsid w:val="008C494C"/>
    <w:rsid w:val="008C5C3D"/>
    <w:rsid w:val="008D1045"/>
    <w:rsid w:val="008D3D92"/>
    <w:rsid w:val="008D4C35"/>
    <w:rsid w:val="008D7A5C"/>
    <w:rsid w:val="008E0356"/>
    <w:rsid w:val="008E38C8"/>
    <w:rsid w:val="008E74C3"/>
    <w:rsid w:val="008F5E32"/>
    <w:rsid w:val="00901198"/>
    <w:rsid w:val="009038B5"/>
    <w:rsid w:val="00903997"/>
    <w:rsid w:val="00904C1A"/>
    <w:rsid w:val="00905A39"/>
    <w:rsid w:val="00906960"/>
    <w:rsid w:val="00911D48"/>
    <w:rsid w:val="00921C1A"/>
    <w:rsid w:val="00925AB5"/>
    <w:rsid w:val="00925CD9"/>
    <w:rsid w:val="00925F23"/>
    <w:rsid w:val="00927CA7"/>
    <w:rsid w:val="00930DCF"/>
    <w:rsid w:val="009313BB"/>
    <w:rsid w:val="00931441"/>
    <w:rsid w:val="00942244"/>
    <w:rsid w:val="00943769"/>
    <w:rsid w:val="00953B53"/>
    <w:rsid w:val="00955D59"/>
    <w:rsid w:val="00960E5A"/>
    <w:rsid w:val="00965312"/>
    <w:rsid w:val="009677F9"/>
    <w:rsid w:val="00967E83"/>
    <w:rsid w:val="0097194E"/>
    <w:rsid w:val="00974AA3"/>
    <w:rsid w:val="0098037A"/>
    <w:rsid w:val="00981673"/>
    <w:rsid w:val="00981DF9"/>
    <w:rsid w:val="00983704"/>
    <w:rsid w:val="00984DD3"/>
    <w:rsid w:val="00985477"/>
    <w:rsid w:val="00986F9B"/>
    <w:rsid w:val="00987ADC"/>
    <w:rsid w:val="009927AE"/>
    <w:rsid w:val="0099344F"/>
    <w:rsid w:val="0099692E"/>
    <w:rsid w:val="009A4AD8"/>
    <w:rsid w:val="009A7F8C"/>
    <w:rsid w:val="009B1004"/>
    <w:rsid w:val="009B2873"/>
    <w:rsid w:val="009B3A65"/>
    <w:rsid w:val="009B7A74"/>
    <w:rsid w:val="009B7F4C"/>
    <w:rsid w:val="009D0E1A"/>
    <w:rsid w:val="009D51F2"/>
    <w:rsid w:val="009D65B8"/>
    <w:rsid w:val="009D6D35"/>
    <w:rsid w:val="009E5837"/>
    <w:rsid w:val="009F014C"/>
    <w:rsid w:val="009F1CC6"/>
    <w:rsid w:val="009F446A"/>
    <w:rsid w:val="00A000B1"/>
    <w:rsid w:val="00A0059A"/>
    <w:rsid w:val="00A03A91"/>
    <w:rsid w:val="00A03DC6"/>
    <w:rsid w:val="00A0656B"/>
    <w:rsid w:val="00A12760"/>
    <w:rsid w:val="00A13F19"/>
    <w:rsid w:val="00A14877"/>
    <w:rsid w:val="00A1516D"/>
    <w:rsid w:val="00A16C88"/>
    <w:rsid w:val="00A2024C"/>
    <w:rsid w:val="00A26934"/>
    <w:rsid w:val="00A32110"/>
    <w:rsid w:val="00A35101"/>
    <w:rsid w:val="00A35ADA"/>
    <w:rsid w:val="00A36B2C"/>
    <w:rsid w:val="00A40C31"/>
    <w:rsid w:val="00A414C1"/>
    <w:rsid w:val="00A41A5E"/>
    <w:rsid w:val="00A42C00"/>
    <w:rsid w:val="00A44954"/>
    <w:rsid w:val="00A51922"/>
    <w:rsid w:val="00A5291D"/>
    <w:rsid w:val="00A54190"/>
    <w:rsid w:val="00A5585A"/>
    <w:rsid w:val="00A55FD6"/>
    <w:rsid w:val="00A60DE5"/>
    <w:rsid w:val="00A61426"/>
    <w:rsid w:val="00A63661"/>
    <w:rsid w:val="00A679CE"/>
    <w:rsid w:val="00A701D1"/>
    <w:rsid w:val="00A7084C"/>
    <w:rsid w:val="00A74F10"/>
    <w:rsid w:val="00A751AA"/>
    <w:rsid w:val="00A80C1C"/>
    <w:rsid w:val="00A81971"/>
    <w:rsid w:val="00A81FF3"/>
    <w:rsid w:val="00A855BC"/>
    <w:rsid w:val="00A8740A"/>
    <w:rsid w:val="00A9051B"/>
    <w:rsid w:val="00AA276B"/>
    <w:rsid w:val="00AA4513"/>
    <w:rsid w:val="00AA7762"/>
    <w:rsid w:val="00AB054F"/>
    <w:rsid w:val="00AB0C61"/>
    <w:rsid w:val="00AB7ACC"/>
    <w:rsid w:val="00AC2EEC"/>
    <w:rsid w:val="00AC63F1"/>
    <w:rsid w:val="00AE1239"/>
    <w:rsid w:val="00AE46C9"/>
    <w:rsid w:val="00AE5088"/>
    <w:rsid w:val="00AE6DC7"/>
    <w:rsid w:val="00AE7835"/>
    <w:rsid w:val="00AF1DFA"/>
    <w:rsid w:val="00AF47E9"/>
    <w:rsid w:val="00AF586D"/>
    <w:rsid w:val="00B03269"/>
    <w:rsid w:val="00B03FB7"/>
    <w:rsid w:val="00B15554"/>
    <w:rsid w:val="00B2079C"/>
    <w:rsid w:val="00B23DE2"/>
    <w:rsid w:val="00B24697"/>
    <w:rsid w:val="00B277BB"/>
    <w:rsid w:val="00B32257"/>
    <w:rsid w:val="00B32414"/>
    <w:rsid w:val="00B32FBD"/>
    <w:rsid w:val="00B33B33"/>
    <w:rsid w:val="00B36A36"/>
    <w:rsid w:val="00B408F7"/>
    <w:rsid w:val="00B42394"/>
    <w:rsid w:val="00B4333F"/>
    <w:rsid w:val="00B51E1F"/>
    <w:rsid w:val="00B54F5B"/>
    <w:rsid w:val="00B5539E"/>
    <w:rsid w:val="00B56C40"/>
    <w:rsid w:val="00B60C62"/>
    <w:rsid w:val="00B64E25"/>
    <w:rsid w:val="00B6518B"/>
    <w:rsid w:val="00B67A16"/>
    <w:rsid w:val="00B973D7"/>
    <w:rsid w:val="00B97C79"/>
    <w:rsid w:val="00B97F12"/>
    <w:rsid w:val="00BA23DF"/>
    <w:rsid w:val="00BA3D79"/>
    <w:rsid w:val="00BA6B7A"/>
    <w:rsid w:val="00BA6EAF"/>
    <w:rsid w:val="00BB696D"/>
    <w:rsid w:val="00BB69DA"/>
    <w:rsid w:val="00BC03C5"/>
    <w:rsid w:val="00BC0965"/>
    <w:rsid w:val="00BC2632"/>
    <w:rsid w:val="00BD06DC"/>
    <w:rsid w:val="00BD1673"/>
    <w:rsid w:val="00BD4B7D"/>
    <w:rsid w:val="00BD4BF0"/>
    <w:rsid w:val="00BD5B7C"/>
    <w:rsid w:val="00BD5C69"/>
    <w:rsid w:val="00BD7FAF"/>
    <w:rsid w:val="00BE24CA"/>
    <w:rsid w:val="00BE51AC"/>
    <w:rsid w:val="00BE5EF4"/>
    <w:rsid w:val="00BE5FC8"/>
    <w:rsid w:val="00BF3A6F"/>
    <w:rsid w:val="00BF6DEE"/>
    <w:rsid w:val="00C008C5"/>
    <w:rsid w:val="00C030B9"/>
    <w:rsid w:val="00C2048A"/>
    <w:rsid w:val="00C268F4"/>
    <w:rsid w:val="00C26ECB"/>
    <w:rsid w:val="00C32BB4"/>
    <w:rsid w:val="00C33578"/>
    <w:rsid w:val="00C403F7"/>
    <w:rsid w:val="00C4366F"/>
    <w:rsid w:val="00C43966"/>
    <w:rsid w:val="00C43AFC"/>
    <w:rsid w:val="00C43CEE"/>
    <w:rsid w:val="00C5028B"/>
    <w:rsid w:val="00C503B5"/>
    <w:rsid w:val="00C52CB0"/>
    <w:rsid w:val="00C53D9F"/>
    <w:rsid w:val="00C55903"/>
    <w:rsid w:val="00C702E8"/>
    <w:rsid w:val="00C71781"/>
    <w:rsid w:val="00C72D6C"/>
    <w:rsid w:val="00C77497"/>
    <w:rsid w:val="00C93D4C"/>
    <w:rsid w:val="00C93F99"/>
    <w:rsid w:val="00C96D6A"/>
    <w:rsid w:val="00CA1D7B"/>
    <w:rsid w:val="00CA5FBF"/>
    <w:rsid w:val="00CB0521"/>
    <w:rsid w:val="00CB11D2"/>
    <w:rsid w:val="00CB18C7"/>
    <w:rsid w:val="00CB301A"/>
    <w:rsid w:val="00CC07B2"/>
    <w:rsid w:val="00CC156A"/>
    <w:rsid w:val="00CC6B31"/>
    <w:rsid w:val="00CC7482"/>
    <w:rsid w:val="00CD22BB"/>
    <w:rsid w:val="00CD2C3E"/>
    <w:rsid w:val="00CE41D6"/>
    <w:rsid w:val="00CE5993"/>
    <w:rsid w:val="00CE6589"/>
    <w:rsid w:val="00CF124C"/>
    <w:rsid w:val="00CF12E2"/>
    <w:rsid w:val="00CF3469"/>
    <w:rsid w:val="00CF6DA2"/>
    <w:rsid w:val="00CF7236"/>
    <w:rsid w:val="00D0273F"/>
    <w:rsid w:val="00D034D5"/>
    <w:rsid w:val="00D04451"/>
    <w:rsid w:val="00D05763"/>
    <w:rsid w:val="00D0748D"/>
    <w:rsid w:val="00D12BFB"/>
    <w:rsid w:val="00D14E39"/>
    <w:rsid w:val="00D15EA6"/>
    <w:rsid w:val="00D223BB"/>
    <w:rsid w:val="00D24A55"/>
    <w:rsid w:val="00D26F33"/>
    <w:rsid w:val="00D27128"/>
    <w:rsid w:val="00D3408C"/>
    <w:rsid w:val="00D52E8C"/>
    <w:rsid w:val="00D55CDD"/>
    <w:rsid w:val="00D60801"/>
    <w:rsid w:val="00D626A4"/>
    <w:rsid w:val="00D640D9"/>
    <w:rsid w:val="00D65184"/>
    <w:rsid w:val="00D71270"/>
    <w:rsid w:val="00D76B1D"/>
    <w:rsid w:val="00D80572"/>
    <w:rsid w:val="00D848C0"/>
    <w:rsid w:val="00D84D10"/>
    <w:rsid w:val="00D85006"/>
    <w:rsid w:val="00D90CC0"/>
    <w:rsid w:val="00D95919"/>
    <w:rsid w:val="00DA3246"/>
    <w:rsid w:val="00DA6301"/>
    <w:rsid w:val="00DB3167"/>
    <w:rsid w:val="00DB60A7"/>
    <w:rsid w:val="00DB60C2"/>
    <w:rsid w:val="00DB76F0"/>
    <w:rsid w:val="00DC344C"/>
    <w:rsid w:val="00DD06CE"/>
    <w:rsid w:val="00DD443D"/>
    <w:rsid w:val="00DE0018"/>
    <w:rsid w:val="00DF13AE"/>
    <w:rsid w:val="00DF32DB"/>
    <w:rsid w:val="00DF3359"/>
    <w:rsid w:val="00E0425D"/>
    <w:rsid w:val="00E05628"/>
    <w:rsid w:val="00E06C78"/>
    <w:rsid w:val="00E119B3"/>
    <w:rsid w:val="00E144A8"/>
    <w:rsid w:val="00E16FD8"/>
    <w:rsid w:val="00E1711F"/>
    <w:rsid w:val="00E21480"/>
    <w:rsid w:val="00E22283"/>
    <w:rsid w:val="00E22F12"/>
    <w:rsid w:val="00E23ECD"/>
    <w:rsid w:val="00E305B1"/>
    <w:rsid w:val="00E442FF"/>
    <w:rsid w:val="00E47202"/>
    <w:rsid w:val="00E504A2"/>
    <w:rsid w:val="00E51BEA"/>
    <w:rsid w:val="00E51E34"/>
    <w:rsid w:val="00E54F99"/>
    <w:rsid w:val="00E55461"/>
    <w:rsid w:val="00E5704B"/>
    <w:rsid w:val="00E5790A"/>
    <w:rsid w:val="00E57F9B"/>
    <w:rsid w:val="00E65078"/>
    <w:rsid w:val="00E65A12"/>
    <w:rsid w:val="00E671B8"/>
    <w:rsid w:val="00E67C37"/>
    <w:rsid w:val="00E71F61"/>
    <w:rsid w:val="00E733C9"/>
    <w:rsid w:val="00E74B0F"/>
    <w:rsid w:val="00E80A35"/>
    <w:rsid w:val="00E810FE"/>
    <w:rsid w:val="00E817EA"/>
    <w:rsid w:val="00E82024"/>
    <w:rsid w:val="00E82549"/>
    <w:rsid w:val="00E84CCC"/>
    <w:rsid w:val="00E8510F"/>
    <w:rsid w:val="00E91B4B"/>
    <w:rsid w:val="00E9466C"/>
    <w:rsid w:val="00E952C1"/>
    <w:rsid w:val="00E977DC"/>
    <w:rsid w:val="00E97E1C"/>
    <w:rsid w:val="00EA3D32"/>
    <w:rsid w:val="00EA698E"/>
    <w:rsid w:val="00EB1932"/>
    <w:rsid w:val="00EB212B"/>
    <w:rsid w:val="00EB225C"/>
    <w:rsid w:val="00EB25CA"/>
    <w:rsid w:val="00EB717F"/>
    <w:rsid w:val="00EC07BA"/>
    <w:rsid w:val="00EC0C6F"/>
    <w:rsid w:val="00EC1C46"/>
    <w:rsid w:val="00EC2FC4"/>
    <w:rsid w:val="00EC3EC6"/>
    <w:rsid w:val="00EC51CA"/>
    <w:rsid w:val="00ED030D"/>
    <w:rsid w:val="00ED7FC6"/>
    <w:rsid w:val="00EE43F0"/>
    <w:rsid w:val="00EE469D"/>
    <w:rsid w:val="00EF118F"/>
    <w:rsid w:val="00EF2EE9"/>
    <w:rsid w:val="00EF3EDB"/>
    <w:rsid w:val="00EF5270"/>
    <w:rsid w:val="00EF7C01"/>
    <w:rsid w:val="00F01F36"/>
    <w:rsid w:val="00F03DF5"/>
    <w:rsid w:val="00F06CA1"/>
    <w:rsid w:val="00F0721B"/>
    <w:rsid w:val="00F1317A"/>
    <w:rsid w:val="00F203E3"/>
    <w:rsid w:val="00F272BD"/>
    <w:rsid w:val="00F341F8"/>
    <w:rsid w:val="00F353B1"/>
    <w:rsid w:val="00F35B74"/>
    <w:rsid w:val="00F35F44"/>
    <w:rsid w:val="00F42527"/>
    <w:rsid w:val="00F43420"/>
    <w:rsid w:val="00F43741"/>
    <w:rsid w:val="00F4680A"/>
    <w:rsid w:val="00F5704C"/>
    <w:rsid w:val="00F6201E"/>
    <w:rsid w:val="00F64DE3"/>
    <w:rsid w:val="00F65608"/>
    <w:rsid w:val="00F65D4F"/>
    <w:rsid w:val="00F722C3"/>
    <w:rsid w:val="00F72D8E"/>
    <w:rsid w:val="00F7485B"/>
    <w:rsid w:val="00F74BBE"/>
    <w:rsid w:val="00F75635"/>
    <w:rsid w:val="00F76912"/>
    <w:rsid w:val="00F83B7E"/>
    <w:rsid w:val="00F83B81"/>
    <w:rsid w:val="00F845C1"/>
    <w:rsid w:val="00F8571D"/>
    <w:rsid w:val="00F86F41"/>
    <w:rsid w:val="00F9184A"/>
    <w:rsid w:val="00F97445"/>
    <w:rsid w:val="00FA0B27"/>
    <w:rsid w:val="00FA0D11"/>
    <w:rsid w:val="00FA3C59"/>
    <w:rsid w:val="00FA52ED"/>
    <w:rsid w:val="00FA6196"/>
    <w:rsid w:val="00FB41A6"/>
    <w:rsid w:val="00FB41FB"/>
    <w:rsid w:val="00FB5D2F"/>
    <w:rsid w:val="00FB6DEF"/>
    <w:rsid w:val="00FB7C56"/>
    <w:rsid w:val="00FD0642"/>
    <w:rsid w:val="00FD06C5"/>
    <w:rsid w:val="00FD228B"/>
    <w:rsid w:val="00FD375B"/>
    <w:rsid w:val="00FE4BAA"/>
    <w:rsid w:val="00FF37F8"/>
    <w:rsid w:val="00FF4A49"/>
    <w:rsid w:val="7EA472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4AC"/>
  <w15:chartTrackingRefBased/>
  <w15:docId w15:val="{14B0CC1B-ED4D-4A7E-8611-B77C0FF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B35"/>
    <w:rPr>
      <w:rFonts w:eastAsiaTheme="majorEastAsia" w:cstheme="majorBidi"/>
      <w:color w:val="272727" w:themeColor="text1" w:themeTint="D8"/>
    </w:rPr>
  </w:style>
  <w:style w:type="paragraph" w:styleId="Title">
    <w:name w:val="Title"/>
    <w:basedOn w:val="Normal"/>
    <w:next w:val="Normal"/>
    <w:link w:val="TitleChar"/>
    <w:uiPriority w:val="10"/>
    <w:qFormat/>
    <w:rsid w:val="002B3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B35"/>
    <w:pPr>
      <w:spacing w:before="160"/>
      <w:jc w:val="center"/>
    </w:pPr>
    <w:rPr>
      <w:i/>
      <w:iCs/>
      <w:color w:val="404040" w:themeColor="text1" w:themeTint="BF"/>
    </w:rPr>
  </w:style>
  <w:style w:type="character" w:customStyle="1" w:styleId="QuoteChar">
    <w:name w:val="Quote Char"/>
    <w:basedOn w:val="DefaultParagraphFont"/>
    <w:link w:val="Quote"/>
    <w:uiPriority w:val="29"/>
    <w:rsid w:val="002B3B35"/>
    <w:rPr>
      <w:i/>
      <w:iCs/>
      <w:color w:val="404040" w:themeColor="text1" w:themeTint="BF"/>
    </w:rPr>
  </w:style>
  <w:style w:type="paragraph" w:styleId="ListParagraph">
    <w:name w:val="List Paragraph"/>
    <w:basedOn w:val="Normal"/>
    <w:uiPriority w:val="34"/>
    <w:qFormat/>
    <w:rsid w:val="002B3B35"/>
    <w:pPr>
      <w:ind w:left="720"/>
      <w:contextualSpacing/>
    </w:pPr>
  </w:style>
  <w:style w:type="character" w:styleId="IntenseEmphasis">
    <w:name w:val="Intense Emphasis"/>
    <w:basedOn w:val="DefaultParagraphFont"/>
    <w:uiPriority w:val="21"/>
    <w:qFormat/>
    <w:rsid w:val="002B3B35"/>
    <w:rPr>
      <w:i/>
      <w:iCs/>
      <w:color w:val="0F4761" w:themeColor="accent1" w:themeShade="BF"/>
    </w:rPr>
  </w:style>
  <w:style w:type="paragraph" w:styleId="IntenseQuote">
    <w:name w:val="Intense Quote"/>
    <w:basedOn w:val="Normal"/>
    <w:next w:val="Normal"/>
    <w:link w:val="IntenseQuoteChar"/>
    <w:uiPriority w:val="30"/>
    <w:qFormat/>
    <w:rsid w:val="002B3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B35"/>
    <w:rPr>
      <w:i/>
      <w:iCs/>
      <w:color w:val="0F4761" w:themeColor="accent1" w:themeShade="BF"/>
    </w:rPr>
  </w:style>
  <w:style w:type="character" w:styleId="IntenseReference">
    <w:name w:val="Intense Reference"/>
    <w:basedOn w:val="DefaultParagraphFont"/>
    <w:uiPriority w:val="32"/>
    <w:qFormat/>
    <w:rsid w:val="002B3B35"/>
    <w:rPr>
      <w:b/>
      <w:bCs/>
      <w:smallCaps/>
      <w:color w:val="0F4761" w:themeColor="accent1" w:themeShade="BF"/>
      <w:spacing w:val="5"/>
    </w:rPr>
  </w:style>
  <w:style w:type="paragraph" w:styleId="Header">
    <w:name w:val="header"/>
    <w:basedOn w:val="Normal"/>
    <w:link w:val="HeaderChar"/>
    <w:uiPriority w:val="99"/>
    <w:unhideWhenUsed/>
    <w:rsid w:val="00B4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394"/>
  </w:style>
  <w:style w:type="paragraph" w:styleId="Footer">
    <w:name w:val="footer"/>
    <w:basedOn w:val="Normal"/>
    <w:link w:val="FooterChar"/>
    <w:uiPriority w:val="99"/>
    <w:unhideWhenUsed/>
    <w:rsid w:val="00B4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394"/>
  </w:style>
  <w:style w:type="paragraph" w:styleId="Revision">
    <w:name w:val="Revision"/>
    <w:hidden/>
    <w:uiPriority w:val="99"/>
    <w:semiHidden/>
    <w:rsid w:val="00F06CA1"/>
    <w:pPr>
      <w:spacing w:after="0" w:line="240" w:lineRule="auto"/>
    </w:pPr>
  </w:style>
  <w:style w:type="character" w:styleId="CommentReference">
    <w:name w:val="annotation reference"/>
    <w:basedOn w:val="DefaultParagraphFont"/>
    <w:uiPriority w:val="99"/>
    <w:semiHidden/>
    <w:unhideWhenUsed/>
    <w:rsid w:val="002F5B99"/>
    <w:rPr>
      <w:sz w:val="16"/>
      <w:szCs w:val="16"/>
    </w:rPr>
  </w:style>
  <w:style w:type="paragraph" w:styleId="CommentText">
    <w:name w:val="annotation text"/>
    <w:basedOn w:val="Normal"/>
    <w:link w:val="CommentTextChar"/>
    <w:uiPriority w:val="99"/>
    <w:unhideWhenUsed/>
    <w:rsid w:val="002F5B99"/>
    <w:pPr>
      <w:spacing w:line="240" w:lineRule="auto"/>
    </w:pPr>
    <w:rPr>
      <w:sz w:val="20"/>
      <w:szCs w:val="20"/>
    </w:rPr>
  </w:style>
  <w:style w:type="character" w:customStyle="1" w:styleId="CommentTextChar">
    <w:name w:val="Comment Text Char"/>
    <w:basedOn w:val="DefaultParagraphFont"/>
    <w:link w:val="CommentText"/>
    <w:uiPriority w:val="99"/>
    <w:rsid w:val="002F5B99"/>
    <w:rPr>
      <w:sz w:val="20"/>
      <w:szCs w:val="20"/>
    </w:rPr>
  </w:style>
  <w:style w:type="paragraph" w:styleId="CommentSubject">
    <w:name w:val="annotation subject"/>
    <w:basedOn w:val="CommentText"/>
    <w:next w:val="CommentText"/>
    <w:link w:val="CommentSubjectChar"/>
    <w:uiPriority w:val="99"/>
    <w:semiHidden/>
    <w:unhideWhenUsed/>
    <w:rsid w:val="002F5B99"/>
    <w:rPr>
      <w:b/>
      <w:bCs/>
    </w:rPr>
  </w:style>
  <w:style w:type="character" w:customStyle="1" w:styleId="CommentSubjectChar">
    <w:name w:val="Comment Subject Char"/>
    <w:basedOn w:val="CommentTextChar"/>
    <w:link w:val="CommentSubject"/>
    <w:uiPriority w:val="99"/>
    <w:semiHidden/>
    <w:rsid w:val="002F5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35297">
      <w:bodyDiv w:val="1"/>
      <w:marLeft w:val="0"/>
      <w:marRight w:val="0"/>
      <w:marTop w:val="0"/>
      <w:marBottom w:val="0"/>
      <w:divBdr>
        <w:top w:val="none" w:sz="0" w:space="0" w:color="auto"/>
        <w:left w:val="none" w:sz="0" w:space="0" w:color="auto"/>
        <w:bottom w:val="none" w:sz="0" w:space="0" w:color="auto"/>
        <w:right w:val="none" w:sz="0" w:space="0" w:color="auto"/>
      </w:divBdr>
      <w:divsChild>
        <w:div w:id="93210392">
          <w:marLeft w:val="547"/>
          <w:marRight w:val="0"/>
          <w:marTop w:val="120"/>
          <w:marBottom w:val="0"/>
          <w:divBdr>
            <w:top w:val="none" w:sz="0" w:space="0" w:color="auto"/>
            <w:left w:val="none" w:sz="0" w:space="0" w:color="auto"/>
            <w:bottom w:val="none" w:sz="0" w:space="0" w:color="auto"/>
            <w:right w:val="none" w:sz="0" w:space="0" w:color="auto"/>
          </w:divBdr>
        </w:div>
      </w:divsChild>
    </w:div>
    <w:div w:id="1334143351">
      <w:bodyDiv w:val="1"/>
      <w:marLeft w:val="0"/>
      <w:marRight w:val="0"/>
      <w:marTop w:val="0"/>
      <w:marBottom w:val="0"/>
      <w:divBdr>
        <w:top w:val="none" w:sz="0" w:space="0" w:color="auto"/>
        <w:left w:val="none" w:sz="0" w:space="0" w:color="auto"/>
        <w:bottom w:val="none" w:sz="0" w:space="0" w:color="auto"/>
        <w:right w:val="none" w:sz="0" w:space="0" w:color="auto"/>
      </w:divBdr>
      <w:divsChild>
        <w:div w:id="321590524">
          <w:marLeft w:val="547"/>
          <w:marRight w:val="0"/>
          <w:marTop w:val="120"/>
          <w:marBottom w:val="0"/>
          <w:divBdr>
            <w:top w:val="none" w:sz="0" w:space="0" w:color="auto"/>
            <w:left w:val="none" w:sz="0" w:space="0" w:color="auto"/>
            <w:bottom w:val="none" w:sz="0" w:space="0" w:color="auto"/>
            <w:right w:val="none" w:sz="0" w:space="0" w:color="auto"/>
          </w:divBdr>
        </w:div>
        <w:div w:id="628361585">
          <w:marLeft w:val="547"/>
          <w:marRight w:val="0"/>
          <w:marTop w:val="120"/>
          <w:marBottom w:val="0"/>
          <w:divBdr>
            <w:top w:val="none" w:sz="0" w:space="0" w:color="auto"/>
            <w:left w:val="none" w:sz="0" w:space="0" w:color="auto"/>
            <w:bottom w:val="none" w:sz="0" w:space="0" w:color="auto"/>
            <w:right w:val="none" w:sz="0" w:space="0" w:color="auto"/>
          </w:divBdr>
        </w:div>
        <w:div w:id="722365356">
          <w:marLeft w:val="547"/>
          <w:marRight w:val="0"/>
          <w:marTop w:val="120"/>
          <w:marBottom w:val="0"/>
          <w:divBdr>
            <w:top w:val="none" w:sz="0" w:space="0" w:color="auto"/>
            <w:left w:val="none" w:sz="0" w:space="0" w:color="auto"/>
            <w:bottom w:val="none" w:sz="0" w:space="0" w:color="auto"/>
            <w:right w:val="none" w:sz="0" w:space="0" w:color="auto"/>
          </w:divBdr>
        </w:div>
        <w:div w:id="764301618">
          <w:marLeft w:val="547"/>
          <w:marRight w:val="0"/>
          <w:marTop w:val="120"/>
          <w:marBottom w:val="0"/>
          <w:divBdr>
            <w:top w:val="none" w:sz="0" w:space="0" w:color="auto"/>
            <w:left w:val="none" w:sz="0" w:space="0" w:color="auto"/>
            <w:bottom w:val="none" w:sz="0" w:space="0" w:color="auto"/>
            <w:right w:val="none" w:sz="0" w:space="0" w:color="auto"/>
          </w:divBdr>
        </w:div>
        <w:div w:id="976953358">
          <w:marLeft w:val="547"/>
          <w:marRight w:val="0"/>
          <w:marTop w:val="120"/>
          <w:marBottom w:val="0"/>
          <w:divBdr>
            <w:top w:val="none" w:sz="0" w:space="0" w:color="auto"/>
            <w:left w:val="none" w:sz="0" w:space="0" w:color="auto"/>
            <w:bottom w:val="none" w:sz="0" w:space="0" w:color="auto"/>
            <w:right w:val="none" w:sz="0" w:space="0" w:color="auto"/>
          </w:divBdr>
        </w:div>
        <w:div w:id="1493255046">
          <w:marLeft w:val="547"/>
          <w:marRight w:val="0"/>
          <w:marTop w:val="120"/>
          <w:marBottom w:val="0"/>
          <w:divBdr>
            <w:top w:val="none" w:sz="0" w:space="0" w:color="auto"/>
            <w:left w:val="none" w:sz="0" w:space="0" w:color="auto"/>
            <w:bottom w:val="none" w:sz="0" w:space="0" w:color="auto"/>
            <w:right w:val="none" w:sz="0" w:space="0" w:color="auto"/>
          </w:divBdr>
        </w:div>
        <w:div w:id="1867717719">
          <w:marLeft w:val="547"/>
          <w:marRight w:val="0"/>
          <w:marTop w:val="120"/>
          <w:marBottom w:val="0"/>
          <w:divBdr>
            <w:top w:val="none" w:sz="0" w:space="0" w:color="auto"/>
            <w:left w:val="none" w:sz="0" w:space="0" w:color="auto"/>
            <w:bottom w:val="none" w:sz="0" w:space="0" w:color="auto"/>
            <w:right w:val="none" w:sz="0" w:space="0" w:color="auto"/>
          </w:divBdr>
        </w:div>
        <w:div w:id="1911187762">
          <w:marLeft w:val="547"/>
          <w:marRight w:val="0"/>
          <w:marTop w:val="120"/>
          <w:marBottom w:val="0"/>
          <w:divBdr>
            <w:top w:val="none" w:sz="0" w:space="0" w:color="auto"/>
            <w:left w:val="none" w:sz="0" w:space="0" w:color="auto"/>
            <w:bottom w:val="none" w:sz="0" w:space="0" w:color="auto"/>
            <w:right w:val="none" w:sz="0" w:space="0" w:color="auto"/>
          </w:divBdr>
        </w:div>
        <w:div w:id="2011367374">
          <w:marLeft w:val="547"/>
          <w:marRight w:val="0"/>
          <w:marTop w:val="120"/>
          <w:marBottom w:val="0"/>
          <w:divBdr>
            <w:top w:val="none" w:sz="0" w:space="0" w:color="auto"/>
            <w:left w:val="none" w:sz="0" w:space="0" w:color="auto"/>
            <w:bottom w:val="none" w:sz="0" w:space="0" w:color="auto"/>
            <w:right w:val="none" w:sz="0" w:space="0" w:color="auto"/>
          </w:divBdr>
        </w:div>
      </w:divsChild>
    </w:div>
    <w:div w:id="1525821069">
      <w:bodyDiv w:val="1"/>
      <w:marLeft w:val="0"/>
      <w:marRight w:val="0"/>
      <w:marTop w:val="0"/>
      <w:marBottom w:val="0"/>
      <w:divBdr>
        <w:top w:val="none" w:sz="0" w:space="0" w:color="auto"/>
        <w:left w:val="none" w:sz="0" w:space="0" w:color="auto"/>
        <w:bottom w:val="none" w:sz="0" w:space="0" w:color="auto"/>
        <w:right w:val="none" w:sz="0" w:space="0" w:color="auto"/>
      </w:divBdr>
      <w:divsChild>
        <w:div w:id="1234126258">
          <w:marLeft w:val="547"/>
          <w:marRight w:val="0"/>
          <w:marTop w:val="120"/>
          <w:marBottom w:val="0"/>
          <w:divBdr>
            <w:top w:val="none" w:sz="0" w:space="0" w:color="auto"/>
            <w:left w:val="none" w:sz="0" w:space="0" w:color="auto"/>
            <w:bottom w:val="none" w:sz="0" w:space="0" w:color="auto"/>
            <w:right w:val="none" w:sz="0" w:space="0" w:color="auto"/>
          </w:divBdr>
        </w:div>
      </w:divsChild>
    </w:div>
    <w:div w:id="1758020754">
      <w:bodyDiv w:val="1"/>
      <w:marLeft w:val="0"/>
      <w:marRight w:val="0"/>
      <w:marTop w:val="0"/>
      <w:marBottom w:val="0"/>
      <w:divBdr>
        <w:top w:val="none" w:sz="0" w:space="0" w:color="auto"/>
        <w:left w:val="none" w:sz="0" w:space="0" w:color="auto"/>
        <w:bottom w:val="none" w:sz="0" w:space="0" w:color="auto"/>
        <w:right w:val="none" w:sz="0" w:space="0" w:color="auto"/>
      </w:divBdr>
    </w:div>
    <w:div w:id="1860318745">
      <w:bodyDiv w:val="1"/>
      <w:marLeft w:val="0"/>
      <w:marRight w:val="0"/>
      <w:marTop w:val="0"/>
      <w:marBottom w:val="0"/>
      <w:divBdr>
        <w:top w:val="none" w:sz="0" w:space="0" w:color="auto"/>
        <w:left w:val="none" w:sz="0" w:space="0" w:color="auto"/>
        <w:bottom w:val="none" w:sz="0" w:space="0" w:color="auto"/>
        <w:right w:val="none" w:sz="0" w:space="0" w:color="auto"/>
      </w:divBdr>
      <w:divsChild>
        <w:div w:id="2981645">
          <w:marLeft w:val="547"/>
          <w:marRight w:val="0"/>
          <w:marTop w:val="120"/>
          <w:marBottom w:val="0"/>
          <w:divBdr>
            <w:top w:val="none" w:sz="0" w:space="0" w:color="auto"/>
            <w:left w:val="none" w:sz="0" w:space="0" w:color="auto"/>
            <w:bottom w:val="none" w:sz="0" w:space="0" w:color="auto"/>
            <w:right w:val="none" w:sz="0" w:space="0" w:color="auto"/>
          </w:divBdr>
        </w:div>
        <w:div w:id="107511589">
          <w:marLeft w:val="547"/>
          <w:marRight w:val="0"/>
          <w:marTop w:val="120"/>
          <w:marBottom w:val="0"/>
          <w:divBdr>
            <w:top w:val="none" w:sz="0" w:space="0" w:color="auto"/>
            <w:left w:val="none" w:sz="0" w:space="0" w:color="auto"/>
            <w:bottom w:val="none" w:sz="0" w:space="0" w:color="auto"/>
            <w:right w:val="none" w:sz="0" w:space="0" w:color="auto"/>
          </w:divBdr>
        </w:div>
        <w:div w:id="241181468">
          <w:marLeft w:val="547"/>
          <w:marRight w:val="0"/>
          <w:marTop w:val="120"/>
          <w:marBottom w:val="0"/>
          <w:divBdr>
            <w:top w:val="none" w:sz="0" w:space="0" w:color="auto"/>
            <w:left w:val="none" w:sz="0" w:space="0" w:color="auto"/>
            <w:bottom w:val="none" w:sz="0" w:space="0" w:color="auto"/>
            <w:right w:val="none" w:sz="0" w:space="0" w:color="auto"/>
          </w:divBdr>
        </w:div>
        <w:div w:id="533882114">
          <w:marLeft w:val="547"/>
          <w:marRight w:val="0"/>
          <w:marTop w:val="120"/>
          <w:marBottom w:val="0"/>
          <w:divBdr>
            <w:top w:val="none" w:sz="0" w:space="0" w:color="auto"/>
            <w:left w:val="none" w:sz="0" w:space="0" w:color="auto"/>
            <w:bottom w:val="none" w:sz="0" w:space="0" w:color="auto"/>
            <w:right w:val="none" w:sz="0" w:space="0" w:color="auto"/>
          </w:divBdr>
        </w:div>
        <w:div w:id="700738656">
          <w:marLeft w:val="547"/>
          <w:marRight w:val="0"/>
          <w:marTop w:val="120"/>
          <w:marBottom w:val="0"/>
          <w:divBdr>
            <w:top w:val="none" w:sz="0" w:space="0" w:color="auto"/>
            <w:left w:val="none" w:sz="0" w:space="0" w:color="auto"/>
            <w:bottom w:val="none" w:sz="0" w:space="0" w:color="auto"/>
            <w:right w:val="none" w:sz="0" w:space="0" w:color="auto"/>
          </w:divBdr>
        </w:div>
        <w:div w:id="1043364442">
          <w:marLeft w:val="547"/>
          <w:marRight w:val="0"/>
          <w:marTop w:val="120"/>
          <w:marBottom w:val="0"/>
          <w:divBdr>
            <w:top w:val="none" w:sz="0" w:space="0" w:color="auto"/>
            <w:left w:val="none" w:sz="0" w:space="0" w:color="auto"/>
            <w:bottom w:val="none" w:sz="0" w:space="0" w:color="auto"/>
            <w:right w:val="none" w:sz="0" w:space="0" w:color="auto"/>
          </w:divBdr>
        </w:div>
        <w:div w:id="1357192890">
          <w:marLeft w:val="547"/>
          <w:marRight w:val="0"/>
          <w:marTop w:val="120"/>
          <w:marBottom w:val="0"/>
          <w:divBdr>
            <w:top w:val="none" w:sz="0" w:space="0" w:color="auto"/>
            <w:left w:val="none" w:sz="0" w:space="0" w:color="auto"/>
            <w:bottom w:val="none" w:sz="0" w:space="0" w:color="auto"/>
            <w:right w:val="none" w:sz="0" w:space="0" w:color="auto"/>
          </w:divBdr>
        </w:div>
        <w:div w:id="195219787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DAF61C65C964996CE44BF0639EEFA" ma:contentTypeVersion="8" ma:contentTypeDescription="Create a new document." ma:contentTypeScope="" ma:versionID="1908826bfe21947e360685d9b88d3260">
  <xsd:schema xmlns:xsd="http://www.w3.org/2001/XMLSchema" xmlns:xs="http://www.w3.org/2001/XMLSchema" xmlns:p="http://schemas.microsoft.com/office/2006/metadata/properties" xmlns:ns2="8e896d58-9766-432b-98ce-f6a7ad419da5" targetNamespace="http://schemas.microsoft.com/office/2006/metadata/properties" ma:root="true" ma:fieldsID="7a2d04684facdc8c6b0cead1aa124570" ns2:_="">
    <xsd:import namespace="8e896d58-9766-432b-98ce-f6a7ad419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6d58-9766-432b-98ce-f6a7ad419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38DB6-C3F7-4EC3-9DAC-C30E6263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6d58-9766-432b-98ce-f6a7ad41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A4DCF-916D-425F-B152-B0250F476E5C}">
  <ds:schemaRefs>
    <ds:schemaRef ds:uri="http://schemas.openxmlformats.org/officeDocument/2006/bibliography"/>
  </ds:schemaRefs>
</ds:datastoreItem>
</file>

<file path=customXml/itemProps3.xml><?xml version="1.0" encoding="utf-8"?>
<ds:datastoreItem xmlns:ds="http://schemas.openxmlformats.org/officeDocument/2006/customXml" ds:itemID="{B7F397D2-ACE2-4B59-A51E-2DA1308821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D828F-7506-451C-A84F-C207D09FA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Summary of the 2025 progress report on the implementation of the recommendations of the Royal Commission into Aged Care Quality and Safety</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2025 progress report on the implementation of the recommendations of the Royal Commission into Aged Care Quality and Safety</dc:title>
  <dc:subject>About us; What we do</dc:subject>
  <dc:creator>Office of the Inspector General of Aged Care</dc:creator>
  <cp:keywords>OIGAC; IGAC</cp:keywords>
  <dc:description/>
  <cp:lastModifiedBy>MCCAY, Meryl</cp:lastModifiedBy>
  <cp:revision>4</cp:revision>
  <dcterms:created xsi:type="dcterms:W3CDTF">2025-08-25T03:21:00Z</dcterms:created>
  <dcterms:modified xsi:type="dcterms:W3CDTF">2025-09-03T06:22:00Z</dcterms:modified>
</cp:coreProperties>
</file>