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CE25B7" w:rsidP="00CE25B7" w:rsidRDefault="003C43DB" w14:paraId="735F042D" w14:textId="184C0225">
      <w:pPr>
        <w:rPr>
          <w:rFonts w:cs="Arial"/>
          <w:b/>
          <w:bCs/>
          <w:color w:val="000000" w:themeColor="text1"/>
          <w:sz w:val="72"/>
          <w:szCs w:val="72"/>
        </w:rPr>
      </w:pPr>
      <w:r w:rsidRPr="00174A08">
        <w:rPr>
          <w:rFonts w:cs="Arial"/>
          <w:b/>
          <w:bCs/>
          <w:noProof/>
          <w:color w:val="000000" w:themeColor="text1"/>
          <w:sz w:val="72"/>
          <w:szCs w:val="72"/>
        </w:rPr>
        <w:drawing>
          <wp:anchor distT="0" distB="0" distL="114300" distR="114300" simplePos="0" relativeHeight="251658240" behindDoc="1" locked="0" layoutInCell="1" allowOverlap="1" wp14:anchorId="00CC6FE3" wp14:editId="6644A4D6">
            <wp:simplePos x="0" y="0"/>
            <wp:positionH relativeFrom="page">
              <wp:posOffset>1270</wp:posOffset>
            </wp:positionH>
            <wp:positionV relativeFrom="paragraph">
              <wp:posOffset>-586740</wp:posOffset>
            </wp:positionV>
            <wp:extent cx="7553325" cy="10691495"/>
            <wp:effectExtent l="0" t="0" r="9525" b="0"/>
            <wp:wrapNone/>
            <wp:docPr id="836631263" name="Imag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36631263" name="Imag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3325" cy="10691495"/>
                    </a:xfrm>
                    <a:prstGeom prst="rect">
                      <a:avLst/>
                    </a:prstGeom>
                  </pic:spPr>
                </pic:pic>
              </a:graphicData>
            </a:graphic>
          </wp:anchor>
        </w:drawing>
      </w:r>
      <w:r w:rsidR="00CE25B7">
        <w:rPr>
          <w:rFonts w:cs="Arial"/>
          <w:b/>
          <w:bCs/>
          <w:noProof/>
          <w:color w:val="000000" w:themeColor="text1"/>
          <w:sz w:val="72"/>
          <w:szCs w:val="72"/>
        </w:rPr>
        <w:drawing>
          <wp:inline distT="0" distB="0" distL="0" distR="0" wp14:anchorId="19D43621" wp14:editId="3716168E">
            <wp:extent cx="3704896" cy="734204"/>
            <wp:effectExtent l="0" t="0" r="0" b="8890"/>
            <wp:docPr id="1591018168" name="Picture 1" descr="Office of the Inspector-General of Aged Care logo, with 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018168" name="Picture 1" descr="Office of the Inspector-General of Aged Care logo, with Australian Government cre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49760" cy="743095"/>
                    </a:xfrm>
                    <a:prstGeom prst="rect">
                      <a:avLst/>
                    </a:prstGeom>
                  </pic:spPr>
                </pic:pic>
              </a:graphicData>
            </a:graphic>
          </wp:inline>
        </w:drawing>
      </w:r>
    </w:p>
    <w:p w:rsidR="00CE25B7" w:rsidP="00CE25B7" w:rsidRDefault="00CE25B7" w14:paraId="011E8D2F" w14:textId="77777777">
      <w:pPr>
        <w:rPr>
          <w:rFonts w:cs="Arial"/>
          <w:b/>
          <w:bCs/>
          <w:color w:val="000000" w:themeColor="text1"/>
          <w:sz w:val="72"/>
          <w:szCs w:val="72"/>
        </w:rPr>
      </w:pPr>
    </w:p>
    <w:p w:rsidRPr="00174A08" w:rsidR="00603379" w:rsidP="00174A08" w:rsidRDefault="007D43F2" w14:paraId="2D41AB3C" w14:textId="74E6266C">
      <w:pPr>
        <w:rPr>
          <w:rFonts w:cs="Arial"/>
          <w:b/>
          <w:bCs/>
          <w:color w:val="000000" w:themeColor="text1"/>
          <w:sz w:val="90"/>
          <w:szCs w:val="90"/>
        </w:rPr>
      </w:pPr>
      <w:r w:rsidRPr="00174A08">
        <w:rPr>
          <w:rFonts w:cs="Arial"/>
          <w:b/>
          <w:bCs/>
          <w:color w:val="000000" w:themeColor="text1"/>
          <w:sz w:val="90"/>
          <w:szCs w:val="90"/>
        </w:rPr>
        <w:t>Corporate Plan</w:t>
      </w:r>
    </w:p>
    <w:p w:rsidRPr="00174A08" w:rsidR="005F7D2C" w:rsidP="00A01491" w:rsidRDefault="00603379" w14:paraId="0EFDB139" w14:textId="526DCC48">
      <w:pPr>
        <w:pStyle w:val="Subtitle"/>
        <w:rPr>
          <w:sz w:val="68"/>
          <w:szCs w:val="68"/>
        </w:rPr>
      </w:pPr>
      <w:r w:rsidRPr="00174A08">
        <w:rPr>
          <w:rFonts w:cs="Arial"/>
          <w:color w:val="000000" w:themeColor="text1"/>
          <w:sz w:val="68"/>
          <w:szCs w:val="68"/>
        </w:rPr>
        <w:t>202</w:t>
      </w:r>
      <w:r w:rsidRPr="00174A08" w:rsidR="00273455">
        <w:rPr>
          <w:rFonts w:cs="Arial"/>
          <w:color w:val="000000" w:themeColor="text1"/>
          <w:sz w:val="68"/>
          <w:szCs w:val="68"/>
        </w:rPr>
        <w:t>6</w:t>
      </w:r>
      <w:r w:rsidRPr="00174A08" w:rsidR="007D43F2">
        <w:rPr>
          <w:rFonts w:cs="Arial"/>
          <w:color w:val="000000" w:themeColor="text1"/>
          <w:sz w:val="68"/>
          <w:szCs w:val="68"/>
        </w:rPr>
        <w:t>-</w:t>
      </w:r>
      <w:r w:rsidRPr="00174A08" w:rsidR="00B623CE">
        <w:rPr>
          <w:rFonts w:cs="Arial"/>
          <w:color w:val="000000" w:themeColor="text1"/>
          <w:sz w:val="68"/>
          <w:szCs w:val="68"/>
        </w:rPr>
        <w:t>27</w:t>
      </w:r>
      <w:r w:rsidRPr="00174A08" w:rsidR="005F7D2C">
        <w:rPr>
          <w:sz w:val="68"/>
          <w:szCs w:val="68"/>
        </w:rPr>
        <w:br w:type="page"/>
      </w:r>
    </w:p>
    <w:p w:rsidR="00BC575C" w:rsidP="00770A31" w:rsidRDefault="009A7580" w14:paraId="5103E8D6" w14:textId="7A9EAC50">
      <w:pPr>
        <w:rPr>
          <w:rStyle w:val="Strong"/>
        </w:rPr>
      </w:pPr>
      <w:r>
        <w:rPr>
          <w:b/>
          <w:bCs/>
          <w:noProof/>
          <w:color w:val="452669" w:themeColor="accent1"/>
        </w:rPr>
        <w:drawing>
          <wp:anchor distT="0" distB="0" distL="114300" distR="114300" simplePos="0" relativeHeight="251658243" behindDoc="1" locked="0" layoutInCell="1" allowOverlap="1" wp14:anchorId="7C8BE0DD" wp14:editId="4339ED68">
            <wp:simplePos x="0" y="0"/>
            <wp:positionH relativeFrom="page">
              <wp:align>left</wp:align>
            </wp:positionH>
            <wp:positionV relativeFrom="paragraph">
              <wp:posOffset>-957429</wp:posOffset>
            </wp:positionV>
            <wp:extent cx="7567200" cy="10706400"/>
            <wp:effectExtent l="0" t="0" r="0" b="0"/>
            <wp:wrapNone/>
            <wp:docPr id="174795065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950653" name="Picture 2">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567200" cy="10706400"/>
                    </a:xfrm>
                    <a:prstGeom prst="rect">
                      <a:avLst/>
                    </a:prstGeom>
                  </pic:spPr>
                </pic:pic>
              </a:graphicData>
            </a:graphic>
            <wp14:sizeRelH relativeFrom="margin">
              <wp14:pctWidth>0</wp14:pctWidth>
            </wp14:sizeRelH>
            <wp14:sizeRelV relativeFrom="margin">
              <wp14:pctHeight>0</wp14:pctHeight>
            </wp14:sizeRelV>
          </wp:anchor>
        </w:drawing>
      </w:r>
    </w:p>
    <w:p w:rsidR="00BC575C" w:rsidP="00770A31" w:rsidRDefault="00BC575C" w14:paraId="0F58658B" w14:textId="77777777">
      <w:pPr>
        <w:rPr>
          <w:rStyle w:val="Strong"/>
        </w:rPr>
      </w:pPr>
    </w:p>
    <w:p w:rsidR="00BC575C" w:rsidP="00770A31" w:rsidRDefault="00BC575C" w14:paraId="61228C2E" w14:textId="77777777">
      <w:pPr>
        <w:rPr>
          <w:rStyle w:val="Strong"/>
        </w:rPr>
      </w:pPr>
    </w:p>
    <w:p w:rsidR="00BC575C" w:rsidP="00770A31" w:rsidRDefault="00BC575C" w14:paraId="7FEA1562" w14:textId="77777777">
      <w:pPr>
        <w:rPr>
          <w:rStyle w:val="Strong"/>
        </w:rPr>
      </w:pPr>
    </w:p>
    <w:p w:rsidR="00BC575C" w:rsidP="00770A31" w:rsidRDefault="00BC575C" w14:paraId="20B496FF" w14:textId="77777777">
      <w:pPr>
        <w:rPr>
          <w:rStyle w:val="Strong"/>
        </w:rPr>
      </w:pPr>
    </w:p>
    <w:p w:rsidR="00BC575C" w:rsidP="00770A31" w:rsidRDefault="00BC575C" w14:paraId="3099C486" w14:textId="77777777">
      <w:pPr>
        <w:rPr>
          <w:rStyle w:val="Strong"/>
        </w:rPr>
      </w:pPr>
    </w:p>
    <w:p w:rsidR="00BC575C" w:rsidP="00770A31" w:rsidRDefault="00BC575C" w14:paraId="0BC36838" w14:textId="77777777">
      <w:pPr>
        <w:rPr>
          <w:rStyle w:val="Strong"/>
        </w:rPr>
      </w:pPr>
    </w:p>
    <w:p w:rsidR="00BC575C" w:rsidP="00770A31" w:rsidRDefault="00BC575C" w14:paraId="145AC496" w14:textId="77777777">
      <w:pPr>
        <w:rPr>
          <w:rStyle w:val="Strong"/>
        </w:rPr>
      </w:pPr>
    </w:p>
    <w:p w:rsidR="00BC575C" w:rsidP="00770A31" w:rsidRDefault="00BC575C" w14:paraId="78055B2A" w14:textId="77777777">
      <w:pPr>
        <w:rPr>
          <w:rStyle w:val="Strong"/>
        </w:rPr>
      </w:pPr>
    </w:p>
    <w:p w:rsidR="00BC575C" w:rsidP="00770A31" w:rsidRDefault="00BC575C" w14:paraId="03EBA254" w14:textId="77777777">
      <w:pPr>
        <w:rPr>
          <w:rStyle w:val="Strong"/>
        </w:rPr>
      </w:pPr>
    </w:p>
    <w:p w:rsidR="00BC575C" w:rsidP="00770A31" w:rsidRDefault="00BC575C" w14:paraId="2FC89717" w14:textId="10251B8D">
      <w:pPr>
        <w:rPr>
          <w:rStyle w:val="Strong"/>
        </w:rPr>
      </w:pPr>
    </w:p>
    <w:p w:rsidR="00BC575C" w:rsidP="00770A31" w:rsidRDefault="00BC575C" w14:paraId="6F8D11F2" w14:textId="77777777">
      <w:pPr>
        <w:rPr>
          <w:rStyle w:val="Strong"/>
        </w:rPr>
      </w:pPr>
    </w:p>
    <w:p w:rsidR="00BC575C" w:rsidP="00770A31" w:rsidRDefault="00BC575C" w14:paraId="47705DC0" w14:textId="77777777">
      <w:pPr>
        <w:rPr>
          <w:rStyle w:val="Strong"/>
        </w:rPr>
      </w:pPr>
    </w:p>
    <w:p w:rsidR="00BC575C" w:rsidP="00770A31" w:rsidRDefault="00BC575C" w14:paraId="53C808E1" w14:textId="77777777">
      <w:pPr>
        <w:rPr>
          <w:rStyle w:val="Strong"/>
        </w:rPr>
      </w:pPr>
    </w:p>
    <w:p w:rsidR="00BC575C" w:rsidP="00770A31" w:rsidRDefault="00BC575C" w14:paraId="7AF5C851" w14:textId="77777777">
      <w:pPr>
        <w:rPr>
          <w:rStyle w:val="Strong"/>
        </w:rPr>
      </w:pPr>
    </w:p>
    <w:p w:rsidR="00BC575C" w:rsidP="00770A31" w:rsidRDefault="00BC575C" w14:paraId="1512C943" w14:textId="77777777">
      <w:pPr>
        <w:rPr>
          <w:rStyle w:val="Strong"/>
        </w:rPr>
      </w:pPr>
    </w:p>
    <w:p w:rsidR="00BC575C" w:rsidP="00770A31" w:rsidRDefault="00BC575C" w14:paraId="4B5D6507" w14:textId="77777777">
      <w:pPr>
        <w:rPr>
          <w:rStyle w:val="Strong"/>
        </w:rPr>
      </w:pPr>
    </w:p>
    <w:p w:rsidR="00BC575C" w:rsidP="00770A31" w:rsidRDefault="00BC575C" w14:paraId="7498A68D" w14:textId="77777777">
      <w:pPr>
        <w:rPr>
          <w:rStyle w:val="Strong"/>
        </w:rPr>
      </w:pPr>
    </w:p>
    <w:p w:rsidR="00BC575C" w:rsidP="00770A31" w:rsidRDefault="00BC575C" w14:paraId="0A034ED0" w14:textId="77777777">
      <w:pPr>
        <w:rPr>
          <w:rStyle w:val="Strong"/>
        </w:rPr>
      </w:pPr>
    </w:p>
    <w:p w:rsidRPr="0060187C" w:rsidR="00770A31" w:rsidP="00770A31" w:rsidRDefault="00770A31" w14:paraId="5D7ABC77" w14:textId="68D33774">
      <w:pPr>
        <w:rPr>
          <w:rStyle w:val="Strong"/>
        </w:rPr>
      </w:pPr>
      <w:r w:rsidRPr="0060187C">
        <w:rPr>
          <w:rStyle w:val="Strong"/>
        </w:rPr>
        <w:t>Publication information</w:t>
      </w:r>
    </w:p>
    <w:p w:rsidRPr="0060187C" w:rsidR="00770A31" w:rsidP="00A01491" w:rsidRDefault="00770A31" w14:paraId="489D1B37" w14:textId="77777777">
      <w:pPr>
        <w:rPr>
          <w:rStyle w:val="Strong"/>
        </w:rPr>
      </w:pPr>
      <w:r w:rsidRPr="0060187C">
        <w:rPr>
          <w:rStyle w:val="Strong"/>
        </w:rPr>
        <w:t>Acknowledgement of Country</w:t>
      </w:r>
    </w:p>
    <w:p w:rsidRPr="002C275F" w:rsidR="00DA109C" w:rsidP="00DA109C" w:rsidRDefault="00DA109C" w14:paraId="007D5243" w14:textId="56B091B9">
      <w:r w:rsidRPr="002C275F">
        <w:t xml:space="preserve">The Office of the Inspector -General of Aged Care acknowledges the </w:t>
      </w:r>
      <w:r w:rsidR="001017A3">
        <w:t>T</w:t>
      </w:r>
      <w:r w:rsidRPr="002C275F">
        <w:t xml:space="preserve">raditional </w:t>
      </w:r>
      <w:r w:rsidR="001017A3">
        <w:t>O</w:t>
      </w:r>
      <w:r w:rsidRPr="002C275F">
        <w:t xml:space="preserve">wners of </w:t>
      </w:r>
      <w:r w:rsidR="001017A3">
        <w:t>C</w:t>
      </w:r>
      <w:r w:rsidRPr="002C275F">
        <w:t xml:space="preserve">ountry throughout Australia, and their continuing connection to land, water and community. We pay our respects to them and their cultures and to </w:t>
      </w:r>
      <w:r w:rsidR="001017A3">
        <w:t>E</w:t>
      </w:r>
      <w:r w:rsidRPr="002C275F">
        <w:t>lders both past and present.</w:t>
      </w:r>
    </w:p>
    <w:p w:rsidRPr="002C275F" w:rsidR="00770A31" w:rsidP="00DA109C" w:rsidRDefault="00770A31" w14:paraId="36DF6B1A" w14:textId="0ED79BB6">
      <w:pPr>
        <w:rPr>
          <w:rStyle w:val="Strong"/>
        </w:rPr>
      </w:pPr>
      <w:r w:rsidRPr="0060187C">
        <w:rPr>
          <w:rStyle w:val="Strong"/>
        </w:rPr>
        <w:t>Publication details</w:t>
      </w:r>
    </w:p>
    <w:p w:rsidRPr="00A14B99" w:rsidR="00770A31" w:rsidP="00770A31" w:rsidRDefault="00770A31" w14:paraId="341C99F1" w14:textId="742DA461">
      <w:r w:rsidRPr="002C275F">
        <w:t xml:space="preserve">© Commonwealth of Australia </w:t>
      </w:r>
      <w:r w:rsidRPr="0060187C" w:rsidR="00DA109C">
        <w:t>202</w:t>
      </w:r>
      <w:r w:rsidRPr="0060187C" w:rsidR="00273455">
        <w:t>6</w:t>
      </w:r>
    </w:p>
    <w:p w:rsidRPr="0060187C" w:rsidR="00770A31" w:rsidP="00DA109C" w:rsidRDefault="00DA109C" w14:paraId="484A6FB1" w14:textId="64EDF4D3">
      <w:r w:rsidRPr="0060187C">
        <w:t>This work is copyright. Apart from any use as permitted under the</w:t>
      </w:r>
      <w:r w:rsidRPr="00A14B99" w:rsidR="00770A31">
        <w:t xml:space="preserve"> </w:t>
      </w:r>
      <w:r w:rsidRPr="0060187C" w:rsidR="00770A31">
        <w:rPr>
          <w:rStyle w:val="Emphasis"/>
        </w:rPr>
        <w:t>Copyright Act 1968</w:t>
      </w:r>
      <w:r w:rsidRPr="00A14B99" w:rsidR="00770A31">
        <w:t>, no part may be reproduced by any process without prior written permission from the Office of the Inspector-General of Aged Care.</w:t>
      </w:r>
    </w:p>
    <w:p w:rsidRPr="00A14B99" w:rsidR="00770A31" w:rsidP="00770A31" w:rsidRDefault="00770A31" w14:paraId="6AABBB88" w14:textId="2E23772C">
      <w:r w:rsidRPr="00A14B99">
        <w:t xml:space="preserve">Produced by the Office of the Inspector-General of Aged Care, </w:t>
      </w:r>
      <w:r w:rsidRPr="0060187C" w:rsidR="00DA109C">
        <w:t>Barton</w:t>
      </w:r>
      <w:r w:rsidRPr="00A14B99">
        <w:t>, ACT.</w:t>
      </w:r>
    </w:p>
    <w:p w:rsidRPr="00A150CD" w:rsidR="00770A31" w:rsidP="00770A31" w:rsidRDefault="00770A31" w14:paraId="59462F44" w14:textId="77777777">
      <w:pPr>
        <w:rPr>
          <w:rFonts w:cs="Arial"/>
        </w:rPr>
      </w:pPr>
      <w:r w:rsidRPr="00A150CD">
        <w:rPr>
          <w:rFonts w:cs="Arial"/>
        </w:rPr>
        <w:t>Requests and enquiries concerning the contents of the report should be addressed to:</w:t>
      </w:r>
    </w:p>
    <w:p w:rsidRPr="00A150CD" w:rsidR="00770A31" w:rsidP="00273281" w:rsidRDefault="00770A31" w14:paraId="74901BE4" w14:textId="77777777">
      <w:pPr>
        <w:pStyle w:val="NoSpacing"/>
        <w:rPr>
          <w:rFonts w:ascii="Arial" w:hAnsi="Arial" w:cs="Arial"/>
          <w:sz w:val="24"/>
          <w:szCs w:val="24"/>
        </w:rPr>
      </w:pPr>
      <w:r w:rsidRPr="00A150CD">
        <w:rPr>
          <w:rFonts w:ascii="Arial" w:hAnsi="Arial" w:cs="Arial"/>
          <w:sz w:val="24"/>
          <w:szCs w:val="24"/>
        </w:rPr>
        <w:t>Office of the Inspector-General of Aged Care</w:t>
      </w:r>
    </w:p>
    <w:p w:rsidRPr="00A150CD" w:rsidR="00770A31" w:rsidP="00273281" w:rsidRDefault="00770A31" w14:paraId="578AF203" w14:textId="77777777">
      <w:pPr>
        <w:pStyle w:val="NoSpacing"/>
        <w:rPr>
          <w:rFonts w:ascii="Arial" w:hAnsi="Arial" w:cs="Arial"/>
          <w:sz w:val="24"/>
          <w:szCs w:val="24"/>
        </w:rPr>
      </w:pPr>
      <w:r w:rsidRPr="00A150CD">
        <w:rPr>
          <w:rFonts w:ascii="Arial" w:hAnsi="Arial" w:cs="Arial"/>
          <w:sz w:val="24"/>
          <w:szCs w:val="24"/>
        </w:rPr>
        <w:t>PO Box 350</w:t>
      </w:r>
    </w:p>
    <w:p w:rsidRPr="00A150CD" w:rsidR="00770A31" w:rsidP="00273281" w:rsidRDefault="00BB04F7" w14:paraId="0873446B" w14:textId="28DA2B4F">
      <w:pPr>
        <w:pStyle w:val="NoSpacing"/>
        <w:rPr>
          <w:rFonts w:ascii="Arial" w:hAnsi="Arial" w:cs="Arial"/>
          <w:sz w:val="24"/>
          <w:szCs w:val="24"/>
        </w:rPr>
      </w:pPr>
      <w:r w:rsidRPr="00A150CD">
        <w:rPr>
          <w:rFonts w:ascii="Arial" w:hAnsi="Arial" w:cs="Arial"/>
          <w:sz w:val="24"/>
          <w:szCs w:val="24"/>
        </w:rPr>
        <w:t xml:space="preserve">Woden </w:t>
      </w:r>
      <w:r>
        <w:rPr>
          <w:rFonts w:ascii="Arial" w:hAnsi="Arial" w:cs="Arial"/>
          <w:sz w:val="24"/>
          <w:szCs w:val="24"/>
        </w:rPr>
        <w:t>ACT</w:t>
      </w:r>
      <w:r w:rsidRPr="00A150CD" w:rsidR="00770A31">
        <w:rPr>
          <w:rFonts w:ascii="Arial" w:hAnsi="Arial" w:cs="Arial"/>
          <w:sz w:val="24"/>
          <w:szCs w:val="24"/>
        </w:rPr>
        <w:t xml:space="preserve"> 2606 </w:t>
      </w:r>
    </w:p>
    <w:p w:rsidRPr="00A14B99" w:rsidR="00770A31" w:rsidP="00770A31" w:rsidRDefault="00770A31" w14:paraId="491482DB" w14:textId="77777777">
      <w:r w:rsidRPr="00A14B99">
        <w:t>Email: contact@igac.gov.au</w:t>
      </w:r>
    </w:p>
    <w:p w:rsidRPr="0060187C" w:rsidR="00621415" w:rsidP="00770A31" w:rsidRDefault="00770A31" w14:paraId="7B3D4F16" w14:textId="22C9AAB3">
      <w:r w:rsidRPr="00A14B99">
        <w:t xml:space="preserve">This report is also available from our website: </w:t>
      </w:r>
      <w:hyperlink w:history="1" r:id="rId14">
        <w:r w:rsidRPr="00A14B99" w:rsidR="0043617C">
          <w:rPr>
            <w:rStyle w:val="Hyperlink"/>
          </w:rPr>
          <w:t>www.igac.gov.au</w:t>
        </w:r>
      </w:hyperlink>
      <w:r w:rsidRPr="00A14B99" w:rsidR="0043617C">
        <w:t>.</w:t>
      </w:r>
      <w:r w:rsidRPr="0060187C" w:rsidR="00621415">
        <w:br w:type="page"/>
      </w:r>
    </w:p>
    <w:sdt>
      <w:sdtPr>
        <w:id w:val="-2089839890"/>
        <w:docPartObj>
          <w:docPartGallery w:val="Table of Contents"/>
          <w:docPartUnique/>
        </w:docPartObj>
        <w:rPr>
          <w:rFonts w:eastAsia="맑은 고딕" w:cs="Calibri Light" w:eastAsiaTheme="minorEastAsia" w:cstheme="majorAscii"/>
          <w:b w:val="0"/>
          <w:bCs w:val="0"/>
          <w:color w:val="auto"/>
          <w:sz w:val="24"/>
          <w:szCs w:val="24"/>
          <w:lang w:val="en-AU"/>
        </w:rPr>
      </w:sdtPr>
      <w:sdtContent>
        <w:p w:rsidRPr="002C275F" w:rsidR="00273281" w:rsidRDefault="00273281" w14:paraId="4ABFB15F" w14:textId="15859BD5">
          <w:pPr>
            <w:pStyle w:val="TOCHeading"/>
            <w:rPr>
              <w:lang w:val="en-AU"/>
            </w:rPr>
          </w:pPr>
          <w:r w:rsidRPr="002C275F">
            <w:rPr>
              <w:lang w:val="en-AU"/>
            </w:rPr>
            <w:t>Contents</w:t>
          </w:r>
        </w:p>
        <w:p w:rsidR="00BB04F7" w:rsidRDefault="00463B48" w14:paraId="7BAA0EF4" w14:textId="6B37BEA2">
          <w:pPr>
            <w:pStyle w:val="TOC1"/>
            <w:rPr>
              <w:rFonts w:asciiTheme="minorHAnsi" w:hAnsiTheme="minorHAnsi"/>
              <w:lang w:eastAsia="en-AU"/>
            </w:rPr>
          </w:pPr>
          <w:r>
            <w:fldChar w:fldCharType="begin"/>
          </w:r>
          <w:r>
            <w:instrText xml:space="preserve"> TOC \o "1-2" \h \z \u </w:instrText>
          </w:r>
          <w:r>
            <w:fldChar w:fldCharType="separate"/>
          </w:r>
          <w:hyperlink w:history="1" w:anchor="_Toc233626455">
            <w:r w:rsidRPr="00D6271E" w:rsidR="00BB04F7">
              <w:rPr>
                <w:rStyle w:val="Hyperlink"/>
              </w:rPr>
              <w:t>Introduction</w:t>
            </w:r>
            <w:r w:rsidR="00BB04F7">
              <w:rPr>
                <w:webHidden/>
              </w:rPr>
              <w:tab/>
            </w:r>
            <w:r w:rsidR="00BB04F7">
              <w:rPr>
                <w:webHidden/>
              </w:rPr>
              <w:fldChar w:fldCharType="begin"/>
            </w:r>
            <w:r w:rsidR="00BB04F7">
              <w:rPr>
                <w:webHidden/>
              </w:rPr>
              <w:instrText xml:space="preserve"> PAGEREF _Toc233626455 \h </w:instrText>
            </w:r>
            <w:r w:rsidR="00BB04F7">
              <w:rPr>
                <w:webHidden/>
              </w:rPr>
            </w:r>
            <w:r w:rsidR="00BB04F7">
              <w:rPr>
                <w:webHidden/>
              </w:rPr>
              <w:fldChar w:fldCharType="separate"/>
            </w:r>
            <w:r w:rsidR="00BB04F7">
              <w:rPr>
                <w:webHidden/>
              </w:rPr>
              <w:t>4</w:t>
            </w:r>
            <w:r w:rsidR="00BB04F7">
              <w:rPr>
                <w:webHidden/>
              </w:rPr>
              <w:fldChar w:fldCharType="end"/>
            </w:r>
          </w:hyperlink>
        </w:p>
        <w:p w:rsidR="00BB04F7" w:rsidRDefault="00BB04F7" w14:paraId="460C9349" w14:textId="17816B98">
          <w:pPr>
            <w:pStyle w:val="TOC2"/>
            <w:rPr>
              <w:rFonts w:asciiTheme="minorHAnsi" w:hAnsiTheme="minorHAnsi"/>
              <w:lang w:eastAsia="en-AU"/>
            </w:rPr>
          </w:pPr>
          <w:hyperlink w:history="1" w:anchor="_Toc233626456">
            <w:r w:rsidRPr="00D6271E">
              <w:rPr>
                <w:rStyle w:val="Hyperlink"/>
              </w:rPr>
              <w:t>Inspector-General’s Foreword</w:t>
            </w:r>
            <w:r>
              <w:rPr>
                <w:webHidden/>
              </w:rPr>
              <w:tab/>
            </w:r>
            <w:r>
              <w:rPr>
                <w:webHidden/>
              </w:rPr>
              <w:fldChar w:fldCharType="begin"/>
            </w:r>
            <w:r>
              <w:rPr>
                <w:webHidden/>
              </w:rPr>
              <w:instrText xml:space="preserve"> PAGEREF _Toc233626456 \h </w:instrText>
            </w:r>
            <w:r>
              <w:rPr>
                <w:webHidden/>
              </w:rPr>
            </w:r>
            <w:r>
              <w:rPr>
                <w:webHidden/>
              </w:rPr>
              <w:fldChar w:fldCharType="separate"/>
            </w:r>
            <w:r>
              <w:rPr>
                <w:webHidden/>
              </w:rPr>
              <w:t>4</w:t>
            </w:r>
            <w:r>
              <w:rPr>
                <w:webHidden/>
              </w:rPr>
              <w:fldChar w:fldCharType="end"/>
            </w:r>
          </w:hyperlink>
        </w:p>
        <w:p w:rsidR="00BB04F7" w:rsidRDefault="00BB04F7" w14:paraId="6B7B400B" w14:textId="144C4A9A">
          <w:pPr>
            <w:pStyle w:val="TOC1"/>
            <w:rPr>
              <w:rFonts w:asciiTheme="minorHAnsi" w:hAnsiTheme="minorHAnsi"/>
              <w:lang w:eastAsia="en-AU"/>
            </w:rPr>
          </w:pPr>
          <w:hyperlink w:history="1" w:anchor="_Toc233626457">
            <w:r w:rsidRPr="00D6271E">
              <w:rPr>
                <w:rStyle w:val="Hyperlink"/>
              </w:rPr>
              <w:t>Purpose</w:t>
            </w:r>
            <w:r>
              <w:rPr>
                <w:webHidden/>
              </w:rPr>
              <w:tab/>
            </w:r>
            <w:r>
              <w:rPr>
                <w:webHidden/>
              </w:rPr>
              <w:fldChar w:fldCharType="begin"/>
            </w:r>
            <w:r>
              <w:rPr>
                <w:webHidden/>
              </w:rPr>
              <w:instrText xml:space="preserve"> PAGEREF _Toc233626457 \h </w:instrText>
            </w:r>
            <w:r>
              <w:rPr>
                <w:webHidden/>
              </w:rPr>
            </w:r>
            <w:r>
              <w:rPr>
                <w:webHidden/>
              </w:rPr>
              <w:fldChar w:fldCharType="separate"/>
            </w:r>
            <w:r>
              <w:rPr>
                <w:webHidden/>
              </w:rPr>
              <w:t>5</w:t>
            </w:r>
            <w:r>
              <w:rPr>
                <w:webHidden/>
              </w:rPr>
              <w:fldChar w:fldCharType="end"/>
            </w:r>
          </w:hyperlink>
        </w:p>
        <w:p w:rsidR="00BB04F7" w:rsidRDefault="00BB04F7" w14:paraId="7254CEBE" w14:textId="400BBBF3">
          <w:pPr>
            <w:pStyle w:val="TOC2"/>
            <w:rPr>
              <w:rFonts w:asciiTheme="minorHAnsi" w:hAnsiTheme="minorHAnsi"/>
              <w:lang w:eastAsia="en-AU"/>
            </w:rPr>
          </w:pPr>
          <w:hyperlink w:history="1" w:anchor="_Toc233626458">
            <w:r w:rsidRPr="00D6271E">
              <w:rPr>
                <w:rStyle w:val="Hyperlink"/>
              </w:rPr>
              <w:t>About us</w:t>
            </w:r>
            <w:r>
              <w:rPr>
                <w:webHidden/>
              </w:rPr>
              <w:tab/>
            </w:r>
            <w:r>
              <w:rPr>
                <w:webHidden/>
              </w:rPr>
              <w:fldChar w:fldCharType="begin"/>
            </w:r>
            <w:r>
              <w:rPr>
                <w:webHidden/>
              </w:rPr>
              <w:instrText xml:space="preserve"> PAGEREF _Toc233626458 \h </w:instrText>
            </w:r>
            <w:r>
              <w:rPr>
                <w:webHidden/>
              </w:rPr>
            </w:r>
            <w:r>
              <w:rPr>
                <w:webHidden/>
              </w:rPr>
              <w:fldChar w:fldCharType="separate"/>
            </w:r>
            <w:r>
              <w:rPr>
                <w:webHidden/>
              </w:rPr>
              <w:t>5</w:t>
            </w:r>
            <w:r>
              <w:rPr>
                <w:webHidden/>
              </w:rPr>
              <w:fldChar w:fldCharType="end"/>
            </w:r>
          </w:hyperlink>
        </w:p>
        <w:p w:rsidR="00BB04F7" w:rsidRDefault="00BB04F7" w14:paraId="3A8C4CD4" w14:textId="41B30A53">
          <w:pPr>
            <w:pStyle w:val="TOC2"/>
            <w:rPr>
              <w:rFonts w:asciiTheme="minorHAnsi" w:hAnsiTheme="minorHAnsi"/>
              <w:lang w:eastAsia="en-AU"/>
            </w:rPr>
          </w:pPr>
          <w:hyperlink w:history="1" w:anchor="_Toc233626459">
            <w:r w:rsidRPr="00D6271E">
              <w:rPr>
                <w:rStyle w:val="Hyperlink"/>
              </w:rPr>
              <w:t>What we do</w:t>
            </w:r>
            <w:r>
              <w:rPr>
                <w:webHidden/>
              </w:rPr>
              <w:tab/>
            </w:r>
            <w:r>
              <w:rPr>
                <w:webHidden/>
              </w:rPr>
              <w:fldChar w:fldCharType="begin"/>
            </w:r>
            <w:r>
              <w:rPr>
                <w:webHidden/>
              </w:rPr>
              <w:instrText xml:space="preserve"> PAGEREF _Toc233626459 \h </w:instrText>
            </w:r>
            <w:r>
              <w:rPr>
                <w:webHidden/>
              </w:rPr>
            </w:r>
            <w:r>
              <w:rPr>
                <w:webHidden/>
              </w:rPr>
              <w:fldChar w:fldCharType="separate"/>
            </w:r>
            <w:r>
              <w:rPr>
                <w:webHidden/>
              </w:rPr>
              <w:t>5</w:t>
            </w:r>
            <w:r>
              <w:rPr>
                <w:webHidden/>
              </w:rPr>
              <w:fldChar w:fldCharType="end"/>
            </w:r>
          </w:hyperlink>
        </w:p>
        <w:p w:rsidR="00BB04F7" w:rsidRDefault="00BB04F7" w14:paraId="336C39F5" w14:textId="6BAC3DC8">
          <w:pPr>
            <w:pStyle w:val="TOC2"/>
            <w:rPr>
              <w:rFonts w:asciiTheme="minorHAnsi" w:hAnsiTheme="minorHAnsi"/>
              <w:lang w:eastAsia="en-AU"/>
            </w:rPr>
          </w:pPr>
          <w:hyperlink w:history="1" w:anchor="_Toc233626460">
            <w:r w:rsidRPr="00D6271E">
              <w:rPr>
                <w:rStyle w:val="Hyperlink"/>
              </w:rPr>
              <w:t>Our Strategic Framework</w:t>
            </w:r>
            <w:r>
              <w:rPr>
                <w:webHidden/>
              </w:rPr>
              <w:tab/>
            </w:r>
            <w:r>
              <w:rPr>
                <w:webHidden/>
              </w:rPr>
              <w:fldChar w:fldCharType="begin"/>
            </w:r>
            <w:r>
              <w:rPr>
                <w:webHidden/>
              </w:rPr>
              <w:instrText xml:space="preserve"> PAGEREF _Toc233626460 \h </w:instrText>
            </w:r>
            <w:r>
              <w:rPr>
                <w:webHidden/>
              </w:rPr>
            </w:r>
            <w:r>
              <w:rPr>
                <w:webHidden/>
              </w:rPr>
              <w:fldChar w:fldCharType="separate"/>
            </w:r>
            <w:r>
              <w:rPr>
                <w:webHidden/>
              </w:rPr>
              <w:t>5</w:t>
            </w:r>
            <w:r>
              <w:rPr>
                <w:webHidden/>
              </w:rPr>
              <w:fldChar w:fldCharType="end"/>
            </w:r>
          </w:hyperlink>
        </w:p>
        <w:p w:rsidR="00BB04F7" w:rsidRDefault="00BB04F7" w14:paraId="59F836C8" w14:textId="108B6A7F">
          <w:pPr>
            <w:pStyle w:val="TOC2"/>
            <w:rPr>
              <w:rFonts w:asciiTheme="minorHAnsi" w:hAnsiTheme="minorHAnsi"/>
              <w:lang w:eastAsia="en-AU"/>
            </w:rPr>
          </w:pPr>
          <w:hyperlink w:history="1" w:anchor="_Toc233626461">
            <w:r w:rsidRPr="00D6271E">
              <w:rPr>
                <w:rStyle w:val="Hyperlink"/>
              </w:rPr>
              <w:t>Our guiding principles</w:t>
            </w:r>
            <w:r>
              <w:rPr>
                <w:webHidden/>
              </w:rPr>
              <w:tab/>
            </w:r>
            <w:r>
              <w:rPr>
                <w:webHidden/>
              </w:rPr>
              <w:fldChar w:fldCharType="begin"/>
            </w:r>
            <w:r>
              <w:rPr>
                <w:webHidden/>
              </w:rPr>
              <w:instrText xml:space="preserve"> PAGEREF _Toc233626461 \h </w:instrText>
            </w:r>
            <w:r>
              <w:rPr>
                <w:webHidden/>
              </w:rPr>
            </w:r>
            <w:r>
              <w:rPr>
                <w:webHidden/>
              </w:rPr>
              <w:fldChar w:fldCharType="separate"/>
            </w:r>
            <w:r>
              <w:rPr>
                <w:webHidden/>
              </w:rPr>
              <w:t>8</w:t>
            </w:r>
            <w:r>
              <w:rPr>
                <w:webHidden/>
              </w:rPr>
              <w:fldChar w:fldCharType="end"/>
            </w:r>
          </w:hyperlink>
        </w:p>
        <w:p w:rsidR="00BB04F7" w:rsidRDefault="00BB04F7" w14:paraId="225A7B23" w14:textId="2ED482CD">
          <w:pPr>
            <w:pStyle w:val="TOC1"/>
            <w:rPr>
              <w:rFonts w:asciiTheme="minorHAnsi" w:hAnsiTheme="minorHAnsi"/>
              <w:lang w:eastAsia="en-AU"/>
            </w:rPr>
          </w:pPr>
          <w:hyperlink w:history="1" w:anchor="_Toc233626462">
            <w:r w:rsidRPr="00D6271E">
              <w:rPr>
                <w:rStyle w:val="Hyperlink"/>
              </w:rPr>
              <w:t>Key activities</w:t>
            </w:r>
            <w:r>
              <w:rPr>
                <w:webHidden/>
              </w:rPr>
              <w:tab/>
            </w:r>
            <w:r>
              <w:rPr>
                <w:webHidden/>
              </w:rPr>
              <w:fldChar w:fldCharType="begin"/>
            </w:r>
            <w:r>
              <w:rPr>
                <w:webHidden/>
              </w:rPr>
              <w:instrText xml:space="preserve"> PAGEREF _Toc233626462 \h </w:instrText>
            </w:r>
            <w:r>
              <w:rPr>
                <w:webHidden/>
              </w:rPr>
            </w:r>
            <w:r>
              <w:rPr>
                <w:webHidden/>
              </w:rPr>
              <w:fldChar w:fldCharType="separate"/>
            </w:r>
            <w:r>
              <w:rPr>
                <w:webHidden/>
              </w:rPr>
              <w:t>9</w:t>
            </w:r>
            <w:r>
              <w:rPr>
                <w:webHidden/>
              </w:rPr>
              <w:fldChar w:fldCharType="end"/>
            </w:r>
          </w:hyperlink>
        </w:p>
        <w:p w:rsidR="00BB04F7" w:rsidRDefault="00BB04F7" w14:paraId="0432B773" w14:textId="147BF821">
          <w:pPr>
            <w:pStyle w:val="TOC2"/>
            <w:rPr>
              <w:rFonts w:asciiTheme="minorHAnsi" w:hAnsiTheme="minorHAnsi"/>
              <w:lang w:eastAsia="en-AU"/>
            </w:rPr>
          </w:pPr>
          <w:hyperlink w:history="1" w:anchor="_Toc233626463">
            <w:r w:rsidRPr="00D6271E">
              <w:rPr>
                <w:rStyle w:val="Hyperlink"/>
              </w:rPr>
              <w:t>2026-27 priority: From action to impact</w:t>
            </w:r>
            <w:r>
              <w:rPr>
                <w:webHidden/>
              </w:rPr>
              <w:tab/>
            </w:r>
            <w:r>
              <w:rPr>
                <w:webHidden/>
              </w:rPr>
              <w:fldChar w:fldCharType="begin"/>
            </w:r>
            <w:r>
              <w:rPr>
                <w:webHidden/>
              </w:rPr>
              <w:instrText xml:space="preserve"> PAGEREF _Toc233626463 \h </w:instrText>
            </w:r>
            <w:r>
              <w:rPr>
                <w:webHidden/>
              </w:rPr>
            </w:r>
            <w:r>
              <w:rPr>
                <w:webHidden/>
              </w:rPr>
              <w:fldChar w:fldCharType="separate"/>
            </w:r>
            <w:r>
              <w:rPr>
                <w:webHidden/>
              </w:rPr>
              <w:t>9</w:t>
            </w:r>
            <w:r>
              <w:rPr>
                <w:webHidden/>
              </w:rPr>
              <w:fldChar w:fldCharType="end"/>
            </w:r>
          </w:hyperlink>
        </w:p>
        <w:p w:rsidR="00BB04F7" w:rsidRDefault="00BB04F7" w14:paraId="28B46011" w14:textId="366FC1FE">
          <w:pPr>
            <w:pStyle w:val="TOC1"/>
            <w:rPr>
              <w:rFonts w:asciiTheme="minorHAnsi" w:hAnsiTheme="minorHAnsi"/>
              <w:lang w:eastAsia="en-AU"/>
            </w:rPr>
          </w:pPr>
          <w:hyperlink w:history="1" w:anchor="_Toc233626464">
            <w:r w:rsidRPr="00D6271E">
              <w:rPr>
                <w:rStyle w:val="Hyperlink"/>
              </w:rPr>
              <w:t>Operating context</w:t>
            </w:r>
            <w:r>
              <w:rPr>
                <w:webHidden/>
              </w:rPr>
              <w:tab/>
            </w:r>
            <w:r>
              <w:rPr>
                <w:webHidden/>
              </w:rPr>
              <w:fldChar w:fldCharType="begin"/>
            </w:r>
            <w:r>
              <w:rPr>
                <w:webHidden/>
              </w:rPr>
              <w:instrText xml:space="preserve"> PAGEREF _Toc233626464 \h </w:instrText>
            </w:r>
            <w:r>
              <w:rPr>
                <w:webHidden/>
              </w:rPr>
            </w:r>
            <w:r>
              <w:rPr>
                <w:webHidden/>
              </w:rPr>
              <w:fldChar w:fldCharType="separate"/>
            </w:r>
            <w:r>
              <w:rPr>
                <w:webHidden/>
              </w:rPr>
              <w:t>10</w:t>
            </w:r>
            <w:r>
              <w:rPr>
                <w:webHidden/>
              </w:rPr>
              <w:fldChar w:fldCharType="end"/>
            </w:r>
          </w:hyperlink>
        </w:p>
        <w:p w:rsidR="00BB04F7" w:rsidRDefault="00BB04F7" w14:paraId="2AD622E0" w14:textId="48B2FEC7">
          <w:pPr>
            <w:pStyle w:val="TOC2"/>
            <w:rPr>
              <w:rFonts w:asciiTheme="minorHAnsi" w:hAnsiTheme="minorHAnsi"/>
              <w:lang w:eastAsia="en-AU"/>
            </w:rPr>
          </w:pPr>
          <w:hyperlink w:history="1" w:anchor="_Toc233626465">
            <w:r w:rsidRPr="00D6271E">
              <w:rPr>
                <w:rStyle w:val="Hyperlink"/>
              </w:rPr>
              <w:t>Environment</w:t>
            </w:r>
            <w:r>
              <w:rPr>
                <w:webHidden/>
              </w:rPr>
              <w:tab/>
            </w:r>
            <w:r>
              <w:rPr>
                <w:webHidden/>
              </w:rPr>
              <w:fldChar w:fldCharType="begin"/>
            </w:r>
            <w:r>
              <w:rPr>
                <w:webHidden/>
              </w:rPr>
              <w:instrText xml:space="preserve"> PAGEREF _Toc233626465 \h </w:instrText>
            </w:r>
            <w:r>
              <w:rPr>
                <w:webHidden/>
              </w:rPr>
            </w:r>
            <w:r>
              <w:rPr>
                <w:webHidden/>
              </w:rPr>
              <w:fldChar w:fldCharType="separate"/>
            </w:r>
            <w:r>
              <w:rPr>
                <w:webHidden/>
              </w:rPr>
              <w:t>10</w:t>
            </w:r>
            <w:r>
              <w:rPr>
                <w:webHidden/>
              </w:rPr>
              <w:fldChar w:fldCharType="end"/>
            </w:r>
          </w:hyperlink>
        </w:p>
        <w:p w:rsidR="00BB04F7" w:rsidRDefault="00BB04F7" w14:paraId="7404B5C7" w14:textId="0ACDD82A">
          <w:pPr>
            <w:pStyle w:val="TOC2"/>
            <w:rPr>
              <w:rFonts w:asciiTheme="minorHAnsi" w:hAnsiTheme="minorHAnsi"/>
              <w:lang w:eastAsia="en-AU"/>
            </w:rPr>
          </w:pPr>
          <w:hyperlink w:history="1" w:anchor="_Toc233626466">
            <w:r w:rsidRPr="00D6271E">
              <w:rPr>
                <w:rStyle w:val="Hyperlink"/>
              </w:rPr>
              <w:t>Capability</w:t>
            </w:r>
            <w:r>
              <w:rPr>
                <w:webHidden/>
              </w:rPr>
              <w:tab/>
            </w:r>
            <w:r>
              <w:rPr>
                <w:webHidden/>
              </w:rPr>
              <w:fldChar w:fldCharType="begin"/>
            </w:r>
            <w:r>
              <w:rPr>
                <w:webHidden/>
              </w:rPr>
              <w:instrText xml:space="preserve"> PAGEREF _Toc233626466 \h </w:instrText>
            </w:r>
            <w:r>
              <w:rPr>
                <w:webHidden/>
              </w:rPr>
            </w:r>
            <w:r>
              <w:rPr>
                <w:webHidden/>
              </w:rPr>
              <w:fldChar w:fldCharType="separate"/>
            </w:r>
            <w:r>
              <w:rPr>
                <w:webHidden/>
              </w:rPr>
              <w:t>10</w:t>
            </w:r>
            <w:r>
              <w:rPr>
                <w:webHidden/>
              </w:rPr>
              <w:fldChar w:fldCharType="end"/>
            </w:r>
          </w:hyperlink>
        </w:p>
        <w:p w:rsidR="00BB04F7" w:rsidRDefault="00BB04F7" w14:paraId="73BE7B4A" w14:textId="614C7FC6">
          <w:pPr>
            <w:pStyle w:val="TOC2"/>
            <w:rPr>
              <w:rFonts w:asciiTheme="minorHAnsi" w:hAnsiTheme="minorHAnsi"/>
              <w:lang w:eastAsia="en-AU"/>
            </w:rPr>
          </w:pPr>
          <w:hyperlink w:history="1" w:anchor="_Toc233626467">
            <w:r w:rsidRPr="00D6271E">
              <w:rPr>
                <w:rStyle w:val="Hyperlink"/>
              </w:rPr>
              <w:t>Leadership</w:t>
            </w:r>
            <w:r>
              <w:rPr>
                <w:webHidden/>
              </w:rPr>
              <w:tab/>
            </w:r>
            <w:r>
              <w:rPr>
                <w:webHidden/>
              </w:rPr>
              <w:fldChar w:fldCharType="begin"/>
            </w:r>
            <w:r>
              <w:rPr>
                <w:webHidden/>
              </w:rPr>
              <w:instrText xml:space="preserve"> PAGEREF _Toc233626467 \h </w:instrText>
            </w:r>
            <w:r>
              <w:rPr>
                <w:webHidden/>
              </w:rPr>
            </w:r>
            <w:r>
              <w:rPr>
                <w:webHidden/>
              </w:rPr>
              <w:fldChar w:fldCharType="separate"/>
            </w:r>
            <w:r>
              <w:rPr>
                <w:webHidden/>
              </w:rPr>
              <w:t>11</w:t>
            </w:r>
            <w:r>
              <w:rPr>
                <w:webHidden/>
              </w:rPr>
              <w:fldChar w:fldCharType="end"/>
            </w:r>
          </w:hyperlink>
        </w:p>
        <w:p w:rsidR="00BB04F7" w:rsidRDefault="00BB04F7" w14:paraId="6D8CCA94" w14:textId="6C74B979">
          <w:pPr>
            <w:pStyle w:val="TOC2"/>
            <w:rPr>
              <w:rFonts w:asciiTheme="minorHAnsi" w:hAnsiTheme="minorHAnsi"/>
              <w:lang w:eastAsia="en-AU"/>
            </w:rPr>
          </w:pPr>
          <w:hyperlink w:history="1" w:anchor="_Toc233626468">
            <w:r w:rsidRPr="00D6271E">
              <w:rPr>
                <w:rStyle w:val="Hyperlink"/>
              </w:rPr>
              <w:t>Workforce</w:t>
            </w:r>
            <w:r>
              <w:rPr>
                <w:webHidden/>
              </w:rPr>
              <w:tab/>
            </w:r>
            <w:r>
              <w:rPr>
                <w:webHidden/>
              </w:rPr>
              <w:fldChar w:fldCharType="begin"/>
            </w:r>
            <w:r>
              <w:rPr>
                <w:webHidden/>
              </w:rPr>
              <w:instrText xml:space="preserve"> PAGEREF _Toc233626468 \h </w:instrText>
            </w:r>
            <w:r>
              <w:rPr>
                <w:webHidden/>
              </w:rPr>
            </w:r>
            <w:r>
              <w:rPr>
                <w:webHidden/>
              </w:rPr>
              <w:fldChar w:fldCharType="separate"/>
            </w:r>
            <w:r>
              <w:rPr>
                <w:webHidden/>
              </w:rPr>
              <w:t>11</w:t>
            </w:r>
            <w:r>
              <w:rPr>
                <w:webHidden/>
              </w:rPr>
              <w:fldChar w:fldCharType="end"/>
            </w:r>
          </w:hyperlink>
        </w:p>
        <w:p w:rsidR="00BB04F7" w:rsidRDefault="00BB04F7" w14:paraId="4D4483FB" w14:textId="6D7AEABA">
          <w:pPr>
            <w:pStyle w:val="TOC2"/>
            <w:rPr>
              <w:rFonts w:asciiTheme="minorHAnsi" w:hAnsiTheme="minorHAnsi"/>
              <w:lang w:eastAsia="en-AU"/>
            </w:rPr>
          </w:pPr>
          <w:hyperlink w:history="1" w:anchor="_Toc233626469">
            <w:r w:rsidRPr="00D6271E">
              <w:rPr>
                <w:rStyle w:val="Hyperlink"/>
              </w:rPr>
              <w:t>Workforce culture</w:t>
            </w:r>
            <w:r>
              <w:rPr>
                <w:webHidden/>
              </w:rPr>
              <w:tab/>
            </w:r>
            <w:r>
              <w:rPr>
                <w:webHidden/>
              </w:rPr>
              <w:fldChar w:fldCharType="begin"/>
            </w:r>
            <w:r>
              <w:rPr>
                <w:webHidden/>
              </w:rPr>
              <w:instrText xml:space="preserve"> PAGEREF _Toc233626469 \h </w:instrText>
            </w:r>
            <w:r>
              <w:rPr>
                <w:webHidden/>
              </w:rPr>
            </w:r>
            <w:r>
              <w:rPr>
                <w:webHidden/>
              </w:rPr>
              <w:fldChar w:fldCharType="separate"/>
            </w:r>
            <w:r>
              <w:rPr>
                <w:webHidden/>
              </w:rPr>
              <w:t>11</w:t>
            </w:r>
            <w:r>
              <w:rPr>
                <w:webHidden/>
              </w:rPr>
              <w:fldChar w:fldCharType="end"/>
            </w:r>
          </w:hyperlink>
        </w:p>
        <w:p w:rsidR="00BB04F7" w:rsidRDefault="00BB04F7" w14:paraId="58880388" w14:textId="546F99F4">
          <w:pPr>
            <w:pStyle w:val="TOC2"/>
            <w:rPr>
              <w:rFonts w:asciiTheme="minorHAnsi" w:hAnsiTheme="minorHAnsi"/>
              <w:lang w:eastAsia="en-AU"/>
            </w:rPr>
          </w:pPr>
          <w:hyperlink w:history="1" w:anchor="_Toc233626470">
            <w:r w:rsidRPr="00D6271E">
              <w:rPr>
                <w:rStyle w:val="Hyperlink"/>
              </w:rPr>
              <w:t>Organisational structure</w:t>
            </w:r>
            <w:r>
              <w:rPr>
                <w:webHidden/>
              </w:rPr>
              <w:tab/>
            </w:r>
            <w:r>
              <w:rPr>
                <w:webHidden/>
              </w:rPr>
              <w:fldChar w:fldCharType="begin"/>
            </w:r>
            <w:r>
              <w:rPr>
                <w:webHidden/>
              </w:rPr>
              <w:instrText xml:space="preserve"> PAGEREF _Toc233626470 \h </w:instrText>
            </w:r>
            <w:r>
              <w:rPr>
                <w:webHidden/>
              </w:rPr>
            </w:r>
            <w:r>
              <w:rPr>
                <w:webHidden/>
              </w:rPr>
              <w:fldChar w:fldCharType="separate"/>
            </w:r>
            <w:r>
              <w:rPr>
                <w:webHidden/>
              </w:rPr>
              <w:t>12</w:t>
            </w:r>
            <w:r>
              <w:rPr>
                <w:webHidden/>
              </w:rPr>
              <w:fldChar w:fldCharType="end"/>
            </w:r>
          </w:hyperlink>
        </w:p>
        <w:p w:rsidR="00BB04F7" w:rsidRDefault="00BB04F7" w14:paraId="74FC5FF4" w14:textId="2AFAE57C">
          <w:pPr>
            <w:pStyle w:val="TOC2"/>
            <w:rPr>
              <w:rFonts w:asciiTheme="minorHAnsi" w:hAnsiTheme="minorHAnsi"/>
              <w:lang w:eastAsia="en-AU"/>
            </w:rPr>
          </w:pPr>
          <w:hyperlink w:history="1" w:anchor="_Toc233626471">
            <w:r w:rsidRPr="00D6271E">
              <w:rPr>
                <w:rStyle w:val="Hyperlink"/>
              </w:rPr>
              <w:t>Strategic Commissioning Framework</w:t>
            </w:r>
            <w:r>
              <w:rPr>
                <w:webHidden/>
              </w:rPr>
              <w:tab/>
            </w:r>
            <w:r>
              <w:rPr>
                <w:webHidden/>
              </w:rPr>
              <w:fldChar w:fldCharType="begin"/>
            </w:r>
            <w:r>
              <w:rPr>
                <w:webHidden/>
              </w:rPr>
              <w:instrText xml:space="preserve"> PAGEREF _Toc233626471 \h </w:instrText>
            </w:r>
            <w:r>
              <w:rPr>
                <w:webHidden/>
              </w:rPr>
            </w:r>
            <w:r>
              <w:rPr>
                <w:webHidden/>
              </w:rPr>
              <w:fldChar w:fldCharType="separate"/>
            </w:r>
            <w:r>
              <w:rPr>
                <w:webHidden/>
              </w:rPr>
              <w:t>12</w:t>
            </w:r>
            <w:r>
              <w:rPr>
                <w:webHidden/>
              </w:rPr>
              <w:fldChar w:fldCharType="end"/>
            </w:r>
          </w:hyperlink>
        </w:p>
        <w:p w:rsidR="00BB04F7" w:rsidRDefault="00BB04F7" w14:paraId="10FA14E5" w14:textId="703CAFD7">
          <w:pPr>
            <w:pStyle w:val="TOC2"/>
            <w:rPr>
              <w:rFonts w:asciiTheme="minorHAnsi" w:hAnsiTheme="minorHAnsi"/>
              <w:lang w:eastAsia="en-AU"/>
            </w:rPr>
          </w:pPr>
          <w:hyperlink w:history="1" w:anchor="_Toc233626472">
            <w:r w:rsidRPr="00D6271E">
              <w:rPr>
                <w:rStyle w:val="Hyperlink"/>
              </w:rPr>
              <w:t>Technology</w:t>
            </w:r>
            <w:r>
              <w:rPr>
                <w:webHidden/>
              </w:rPr>
              <w:tab/>
            </w:r>
            <w:r>
              <w:rPr>
                <w:webHidden/>
              </w:rPr>
              <w:fldChar w:fldCharType="begin"/>
            </w:r>
            <w:r>
              <w:rPr>
                <w:webHidden/>
              </w:rPr>
              <w:instrText xml:space="preserve"> PAGEREF _Toc233626472 \h </w:instrText>
            </w:r>
            <w:r>
              <w:rPr>
                <w:webHidden/>
              </w:rPr>
            </w:r>
            <w:r>
              <w:rPr>
                <w:webHidden/>
              </w:rPr>
              <w:fldChar w:fldCharType="separate"/>
            </w:r>
            <w:r>
              <w:rPr>
                <w:webHidden/>
              </w:rPr>
              <w:t>12</w:t>
            </w:r>
            <w:r>
              <w:rPr>
                <w:webHidden/>
              </w:rPr>
              <w:fldChar w:fldCharType="end"/>
            </w:r>
          </w:hyperlink>
        </w:p>
        <w:p w:rsidR="00BB04F7" w:rsidRDefault="00BB04F7" w14:paraId="65005567" w14:textId="2B670D36">
          <w:pPr>
            <w:pStyle w:val="TOC1"/>
            <w:rPr>
              <w:rFonts w:asciiTheme="minorHAnsi" w:hAnsiTheme="minorHAnsi"/>
              <w:lang w:eastAsia="en-AU"/>
            </w:rPr>
          </w:pPr>
          <w:hyperlink w:history="1" w:anchor="_Toc233626473">
            <w:r w:rsidRPr="00D6271E">
              <w:rPr>
                <w:rStyle w:val="Hyperlink"/>
              </w:rPr>
              <w:t>Risk oversight</w:t>
            </w:r>
            <w:r>
              <w:rPr>
                <w:webHidden/>
              </w:rPr>
              <w:tab/>
            </w:r>
            <w:r>
              <w:rPr>
                <w:webHidden/>
              </w:rPr>
              <w:fldChar w:fldCharType="begin"/>
            </w:r>
            <w:r>
              <w:rPr>
                <w:webHidden/>
              </w:rPr>
              <w:instrText xml:space="preserve"> PAGEREF _Toc233626473 \h </w:instrText>
            </w:r>
            <w:r>
              <w:rPr>
                <w:webHidden/>
              </w:rPr>
            </w:r>
            <w:r>
              <w:rPr>
                <w:webHidden/>
              </w:rPr>
              <w:fldChar w:fldCharType="separate"/>
            </w:r>
            <w:r>
              <w:rPr>
                <w:webHidden/>
              </w:rPr>
              <w:t>13</w:t>
            </w:r>
            <w:r>
              <w:rPr>
                <w:webHidden/>
              </w:rPr>
              <w:fldChar w:fldCharType="end"/>
            </w:r>
          </w:hyperlink>
        </w:p>
        <w:p w:rsidR="00BB04F7" w:rsidRDefault="00BB04F7" w14:paraId="58D943CE" w14:textId="6658DAD3">
          <w:pPr>
            <w:pStyle w:val="TOC2"/>
            <w:rPr>
              <w:rFonts w:asciiTheme="minorHAnsi" w:hAnsiTheme="minorHAnsi"/>
              <w:lang w:eastAsia="en-AU"/>
            </w:rPr>
          </w:pPr>
          <w:hyperlink w:history="1" w:anchor="_Toc233626474">
            <w:r w:rsidRPr="00D6271E">
              <w:rPr>
                <w:rStyle w:val="Hyperlink"/>
              </w:rPr>
              <w:t>Key risks and risk management</w:t>
            </w:r>
            <w:r>
              <w:rPr>
                <w:webHidden/>
              </w:rPr>
              <w:tab/>
            </w:r>
            <w:r>
              <w:rPr>
                <w:webHidden/>
              </w:rPr>
              <w:fldChar w:fldCharType="begin"/>
            </w:r>
            <w:r>
              <w:rPr>
                <w:webHidden/>
              </w:rPr>
              <w:instrText xml:space="preserve"> PAGEREF _Toc233626474 \h </w:instrText>
            </w:r>
            <w:r>
              <w:rPr>
                <w:webHidden/>
              </w:rPr>
            </w:r>
            <w:r>
              <w:rPr>
                <w:webHidden/>
              </w:rPr>
              <w:fldChar w:fldCharType="separate"/>
            </w:r>
            <w:r>
              <w:rPr>
                <w:webHidden/>
              </w:rPr>
              <w:t>13</w:t>
            </w:r>
            <w:r>
              <w:rPr>
                <w:webHidden/>
              </w:rPr>
              <w:fldChar w:fldCharType="end"/>
            </w:r>
          </w:hyperlink>
        </w:p>
        <w:p w:rsidR="00BB04F7" w:rsidRDefault="00BB04F7" w14:paraId="220B2B8D" w14:textId="315EB7D5">
          <w:pPr>
            <w:pStyle w:val="TOC2"/>
            <w:rPr>
              <w:rFonts w:asciiTheme="minorHAnsi" w:hAnsiTheme="minorHAnsi"/>
              <w:lang w:eastAsia="en-AU"/>
            </w:rPr>
          </w:pPr>
          <w:hyperlink w:history="1" w:anchor="_Toc233626475">
            <w:r w:rsidRPr="00D6271E">
              <w:rPr>
                <w:rStyle w:val="Hyperlink"/>
              </w:rPr>
              <w:t>Oversight and assurance</w:t>
            </w:r>
            <w:r>
              <w:rPr>
                <w:webHidden/>
              </w:rPr>
              <w:tab/>
            </w:r>
            <w:r>
              <w:rPr>
                <w:webHidden/>
              </w:rPr>
              <w:fldChar w:fldCharType="begin"/>
            </w:r>
            <w:r>
              <w:rPr>
                <w:webHidden/>
              </w:rPr>
              <w:instrText xml:space="preserve"> PAGEREF _Toc233626475 \h </w:instrText>
            </w:r>
            <w:r>
              <w:rPr>
                <w:webHidden/>
              </w:rPr>
            </w:r>
            <w:r>
              <w:rPr>
                <w:webHidden/>
              </w:rPr>
              <w:fldChar w:fldCharType="separate"/>
            </w:r>
            <w:r>
              <w:rPr>
                <w:webHidden/>
              </w:rPr>
              <w:t>14</w:t>
            </w:r>
            <w:r>
              <w:rPr>
                <w:webHidden/>
              </w:rPr>
              <w:fldChar w:fldCharType="end"/>
            </w:r>
          </w:hyperlink>
        </w:p>
        <w:p w:rsidR="00BB04F7" w:rsidRDefault="00BB04F7" w14:paraId="2192816A" w14:textId="558E9E5D">
          <w:pPr>
            <w:pStyle w:val="TOC1"/>
            <w:rPr>
              <w:rFonts w:asciiTheme="minorHAnsi" w:hAnsiTheme="minorHAnsi"/>
              <w:lang w:eastAsia="en-AU"/>
            </w:rPr>
          </w:pPr>
          <w:hyperlink w:history="1" w:anchor="_Toc233626476">
            <w:r w:rsidRPr="00D6271E">
              <w:rPr>
                <w:rStyle w:val="Hyperlink"/>
              </w:rPr>
              <w:t>Cooperation</w:t>
            </w:r>
            <w:r>
              <w:rPr>
                <w:webHidden/>
              </w:rPr>
              <w:tab/>
            </w:r>
            <w:r>
              <w:rPr>
                <w:webHidden/>
              </w:rPr>
              <w:fldChar w:fldCharType="begin"/>
            </w:r>
            <w:r>
              <w:rPr>
                <w:webHidden/>
              </w:rPr>
              <w:instrText xml:space="preserve"> PAGEREF _Toc233626476 \h </w:instrText>
            </w:r>
            <w:r>
              <w:rPr>
                <w:webHidden/>
              </w:rPr>
            </w:r>
            <w:r>
              <w:rPr>
                <w:webHidden/>
              </w:rPr>
              <w:fldChar w:fldCharType="separate"/>
            </w:r>
            <w:r>
              <w:rPr>
                <w:webHidden/>
              </w:rPr>
              <w:t>15</w:t>
            </w:r>
            <w:r>
              <w:rPr>
                <w:webHidden/>
              </w:rPr>
              <w:fldChar w:fldCharType="end"/>
            </w:r>
          </w:hyperlink>
        </w:p>
        <w:p w:rsidR="00BB04F7" w:rsidRDefault="00BB04F7" w14:paraId="0C7B7409" w14:textId="4A3B7D6E">
          <w:pPr>
            <w:pStyle w:val="TOC2"/>
            <w:rPr>
              <w:rFonts w:asciiTheme="minorHAnsi" w:hAnsiTheme="minorHAnsi"/>
              <w:lang w:eastAsia="en-AU"/>
            </w:rPr>
          </w:pPr>
          <w:hyperlink w:history="1" w:anchor="_Toc233626477">
            <w:r w:rsidRPr="00D6271E">
              <w:rPr>
                <w:rStyle w:val="Hyperlink"/>
              </w:rPr>
              <w:t>Our commitment to engagement</w:t>
            </w:r>
            <w:r>
              <w:rPr>
                <w:webHidden/>
              </w:rPr>
              <w:tab/>
            </w:r>
            <w:r>
              <w:rPr>
                <w:webHidden/>
              </w:rPr>
              <w:fldChar w:fldCharType="begin"/>
            </w:r>
            <w:r>
              <w:rPr>
                <w:webHidden/>
              </w:rPr>
              <w:instrText xml:space="preserve"> PAGEREF _Toc233626477 \h </w:instrText>
            </w:r>
            <w:r>
              <w:rPr>
                <w:webHidden/>
              </w:rPr>
            </w:r>
            <w:r>
              <w:rPr>
                <w:webHidden/>
              </w:rPr>
              <w:fldChar w:fldCharType="separate"/>
            </w:r>
            <w:r>
              <w:rPr>
                <w:webHidden/>
              </w:rPr>
              <w:t>15</w:t>
            </w:r>
            <w:r>
              <w:rPr>
                <w:webHidden/>
              </w:rPr>
              <w:fldChar w:fldCharType="end"/>
            </w:r>
          </w:hyperlink>
        </w:p>
        <w:p w:rsidR="00BB04F7" w:rsidRDefault="00BB04F7" w14:paraId="771F3D68" w14:textId="4801FE0A">
          <w:pPr>
            <w:pStyle w:val="TOC2"/>
            <w:rPr>
              <w:rFonts w:asciiTheme="minorHAnsi" w:hAnsiTheme="minorHAnsi"/>
              <w:lang w:eastAsia="en-AU"/>
            </w:rPr>
          </w:pPr>
          <w:hyperlink w:history="1" w:anchor="_Toc233626478">
            <w:r w:rsidRPr="00D6271E">
              <w:rPr>
                <w:rStyle w:val="Hyperlink"/>
              </w:rPr>
              <w:t>Partnering with First Nations peoples</w:t>
            </w:r>
            <w:r>
              <w:rPr>
                <w:webHidden/>
              </w:rPr>
              <w:tab/>
            </w:r>
            <w:r>
              <w:rPr>
                <w:webHidden/>
              </w:rPr>
              <w:fldChar w:fldCharType="begin"/>
            </w:r>
            <w:r>
              <w:rPr>
                <w:webHidden/>
              </w:rPr>
              <w:instrText xml:space="preserve"> PAGEREF _Toc233626478 \h </w:instrText>
            </w:r>
            <w:r>
              <w:rPr>
                <w:webHidden/>
              </w:rPr>
            </w:r>
            <w:r>
              <w:rPr>
                <w:webHidden/>
              </w:rPr>
              <w:fldChar w:fldCharType="separate"/>
            </w:r>
            <w:r>
              <w:rPr>
                <w:webHidden/>
              </w:rPr>
              <w:t>16</w:t>
            </w:r>
            <w:r>
              <w:rPr>
                <w:webHidden/>
              </w:rPr>
              <w:fldChar w:fldCharType="end"/>
            </w:r>
          </w:hyperlink>
        </w:p>
        <w:p w:rsidR="00BB04F7" w:rsidRDefault="00BB04F7" w14:paraId="0483AB35" w14:textId="1456F9FF">
          <w:pPr>
            <w:pStyle w:val="TOC1"/>
            <w:rPr>
              <w:rFonts w:asciiTheme="minorHAnsi" w:hAnsiTheme="minorHAnsi"/>
              <w:lang w:eastAsia="en-AU"/>
            </w:rPr>
          </w:pPr>
          <w:hyperlink w:history="1" w:anchor="_Toc233626479">
            <w:r w:rsidRPr="00D6271E">
              <w:rPr>
                <w:rStyle w:val="Hyperlink"/>
              </w:rPr>
              <w:t>Performance</w:t>
            </w:r>
            <w:r>
              <w:rPr>
                <w:webHidden/>
              </w:rPr>
              <w:tab/>
            </w:r>
            <w:r>
              <w:rPr>
                <w:webHidden/>
              </w:rPr>
              <w:fldChar w:fldCharType="begin"/>
            </w:r>
            <w:r>
              <w:rPr>
                <w:webHidden/>
              </w:rPr>
              <w:instrText xml:space="preserve"> PAGEREF _Toc233626479 \h </w:instrText>
            </w:r>
            <w:r>
              <w:rPr>
                <w:webHidden/>
              </w:rPr>
            </w:r>
            <w:r>
              <w:rPr>
                <w:webHidden/>
              </w:rPr>
              <w:fldChar w:fldCharType="separate"/>
            </w:r>
            <w:r>
              <w:rPr>
                <w:webHidden/>
              </w:rPr>
              <w:t>17</w:t>
            </w:r>
            <w:r>
              <w:rPr>
                <w:webHidden/>
              </w:rPr>
              <w:fldChar w:fldCharType="end"/>
            </w:r>
          </w:hyperlink>
        </w:p>
        <w:p w:rsidR="00BB04F7" w:rsidRDefault="00BB04F7" w14:paraId="4A4BBD6F" w14:textId="7F28BBB0">
          <w:pPr>
            <w:pStyle w:val="TOC2"/>
            <w:rPr>
              <w:rFonts w:asciiTheme="minorHAnsi" w:hAnsiTheme="minorHAnsi"/>
              <w:lang w:eastAsia="en-AU"/>
            </w:rPr>
          </w:pPr>
          <w:hyperlink w:history="1" w:anchor="_Toc233626480">
            <w:r w:rsidRPr="00D6271E">
              <w:rPr>
                <w:rStyle w:val="Hyperlink"/>
              </w:rPr>
              <w:t>Performance measures</w:t>
            </w:r>
            <w:r>
              <w:rPr>
                <w:webHidden/>
              </w:rPr>
              <w:tab/>
            </w:r>
            <w:r>
              <w:rPr>
                <w:webHidden/>
              </w:rPr>
              <w:fldChar w:fldCharType="begin"/>
            </w:r>
            <w:r>
              <w:rPr>
                <w:webHidden/>
              </w:rPr>
              <w:instrText xml:space="preserve"> PAGEREF _Toc233626480 \h </w:instrText>
            </w:r>
            <w:r>
              <w:rPr>
                <w:webHidden/>
              </w:rPr>
            </w:r>
            <w:r>
              <w:rPr>
                <w:webHidden/>
              </w:rPr>
              <w:fldChar w:fldCharType="separate"/>
            </w:r>
            <w:r>
              <w:rPr>
                <w:webHidden/>
              </w:rPr>
              <w:t>17</w:t>
            </w:r>
            <w:r>
              <w:rPr>
                <w:webHidden/>
              </w:rPr>
              <w:fldChar w:fldCharType="end"/>
            </w:r>
          </w:hyperlink>
        </w:p>
        <w:p w:rsidR="00BB04F7" w:rsidRDefault="00BB04F7" w14:paraId="56AF3978" w14:textId="3EC6A888">
          <w:pPr>
            <w:pStyle w:val="TOC2"/>
            <w:rPr>
              <w:rFonts w:asciiTheme="minorHAnsi" w:hAnsiTheme="minorHAnsi"/>
              <w:lang w:eastAsia="en-AU"/>
            </w:rPr>
          </w:pPr>
          <w:hyperlink w:history="1" w:anchor="_Toc233626481">
            <w:r w:rsidRPr="00D6271E">
              <w:rPr>
                <w:rStyle w:val="Hyperlink"/>
              </w:rPr>
              <w:t>Appendix: List of requirements</w:t>
            </w:r>
            <w:r>
              <w:rPr>
                <w:webHidden/>
              </w:rPr>
              <w:tab/>
            </w:r>
            <w:r>
              <w:rPr>
                <w:webHidden/>
              </w:rPr>
              <w:fldChar w:fldCharType="begin"/>
            </w:r>
            <w:r>
              <w:rPr>
                <w:webHidden/>
              </w:rPr>
              <w:instrText xml:space="preserve"> PAGEREF _Toc233626481 \h </w:instrText>
            </w:r>
            <w:r>
              <w:rPr>
                <w:webHidden/>
              </w:rPr>
            </w:r>
            <w:r>
              <w:rPr>
                <w:webHidden/>
              </w:rPr>
              <w:fldChar w:fldCharType="separate"/>
            </w:r>
            <w:r>
              <w:rPr>
                <w:webHidden/>
              </w:rPr>
              <w:t>19</w:t>
            </w:r>
            <w:r>
              <w:rPr>
                <w:webHidden/>
              </w:rPr>
              <w:fldChar w:fldCharType="end"/>
            </w:r>
          </w:hyperlink>
        </w:p>
        <w:p w:rsidRPr="002C275F" w:rsidR="00273281" w:rsidP="00273281" w:rsidRDefault="00463B48" w14:paraId="427BEFD5" w14:textId="1B3C8AE3">
          <w:pPr>
            <w:rPr>
              <w:b/>
              <w:bCs/>
            </w:rPr>
          </w:pPr>
          <w:r>
            <w:rPr>
              <w:rFonts w:cstheme="minorBidi"/>
              <w:lang w:eastAsia="ja-JP"/>
            </w:rPr>
            <w:fldChar w:fldCharType="end"/>
          </w:r>
        </w:p>
      </w:sdtContent>
      <w:sdtEndPr>
        <w:rPr>
          <w:rFonts w:eastAsia="맑은 고딕" w:cs="Calibri Light" w:eastAsiaTheme="minorEastAsia" w:cstheme="majorAscii"/>
          <w:b w:val="0"/>
          <w:bCs w:val="0"/>
          <w:color w:val="auto"/>
          <w:sz w:val="24"/>
          <w:szCs w:val="24"/>
          <w:lang w:val="en-AU"/>
        </w:rPr>
      </w:sdtEndPr>
    </w:sdt>
    <w:p w:rsidRPr="0060187C" w:rsidR="000705BC" w:rsidP="00273281" w:rsidRDefault="000705BC" w14:paraId="743AC81C" w14:textId="2A09512D">
      <w:r w:rsidRPr="0060187C">
        <w:br w:type="page"/>
      </w:r>
    </w:p>
    <w:p w:rsidRPr="0060187C" w:rsidR="005D630C" w:rsidP="00F815A8" w:rsidRDefault="005D630C" w14:paraId="27ABBC18" w14:textId="16090CBF">
      <w:pPr>
        <w:pStyle w:val="Heading1"/>
      </w:pPr>
      <w:bookmarkStart w:name="_Toc222308714" w:id="0"/>
      <w:bookmarkStart w:name="_Toc233626455" w:id="1"/>
      <w:r w:rsidRPr="0060187C">
        <w:t>Introduction</w:t>
      </w:r>
      <w:bookmarkEnd w:id="0"/>
      <w:bookmarkEnd w:id="1"/>
    </w:p>
    <w:p w:rsidR="005D630C" w:rsidP="00174A08" w:rsidRDefault="005D630C" w14:paraId="025BB1F0" w14:textId="78495A24">
      <w:pPr>
        <w:pStyle w:val="Heading2"/>
        <w:spacing w:after="240"/>
      </w:pPr>
      <w:bookmarkStart w:name="_Toc222308715" w:id="2"/>
      <w:bookmarkStart w:name="_Toc233626456" w:id="3"/>
      <w:r w:rsidRPr="0060187C">
        <w:t>Inspector-General’s Foreword</w:t>
      </w:r>
      <w:bookmarkEnd w:id="2"/>
      <w:bookmarkEnd w:id="3"/>
    </w:p>
    <w:p w:rsidR="00435BE3" w:rsidP="00435BE3" w:rsidRDefault="002A167B" w14:paraId="16425660" w14:textId="6A6A89B4">
      <w:r w:rsidRPr="005A39C0">
        <w:rPr>
          <w:noProof/>
        </w:rPr>
        <w:drawing>
          <wp:anchor distT="0" distB="0" distL="114300" distR="114300" simplePos="0" relativeHeight="251658244" behindDoc="0" locked="0" layoutInCell="1" allowOverlap="1" wp14:anchorId="7ACD25AF" wp14:editId="020151B7">
            <wp:simplePos x="0" y="0"/>
            <wp:positionH relativeFrom="column">
              <wp:posOffset>55880</wp:posOffset>
            </wp:positionH>
            <wp:positionV relativeFrom="paragraph">
              <wp:posOffset>66040</wp:posOffset>
            </wp:positionV>
            <wp:extent cx="1676400" cy="2036445"/>
            <wp:effectExtent l="0" t="0" r="0" b="1905"/>
            <wp:wrapSquare wrapText="bothSides"/>
            <wp:docPr id="7654814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81472"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6400" cy="2036445"/>
                    </a:xfrm>
                    <a:prstGeom prst="rect">
                      <a:avLst/>
                    </a:prstGeom>
                  </pic:spPr>
                </pic:pic>
              </a:graphicData>
            </a:graphic>
            <wp14:sizeRelH relativeFrom="page">
              <wp14:pctWidth>0</wp14:pctWidth>
            </wp14:sizeRelH>
            <wp14:sizeRelV relativeFrom="page">
              <wp14:pctHeight>0</wp14:pctHeight>
            </wp14:sizeRelV>
          </wp:anchor>
        </w:drawing>
      </w:r>
      <w:r w:rsidR="00435BE3">
        <w:t>As Inspector-General of Aged Care, I present this Corporate Plan at a time when the expectations placed on this Office are both high and well</w:t>
      </w:r>
      <w:r w:rsidR="00435BE3">
        <w:rPr>
          <w:rFonts w:ascii="Cambria Math" w:hAnsi="Cambria Math" w:cs="Cambria Math"/>
        </w:rPr>
        <w:t>‑</w:t>
      </w:r>
      <w:r w:rsidR="00435BE3">
        <w:t>founded. We are a small agency with a broad mandate: to provide independent, system</w:t>
      </w:r>
      <w:r w:rsidR="00435BE3">
        <w:rPr>
          <w:rFonts w:ascii="Cambria Math" w:hAnsi="Cambria Math" w:cs="Cambria Math"/>
        </w:rPr>
        <w:t>‑</w:t>
      </w:r>
      <w:r w:rsidR="00435BE3">
        <w:t>level oversight of</w:t>
      </w:r>
      <w:r w:rsidR="00FE112F">
        <w:t xml:space="preserve"> </w:t>
      </w:r>
      <w:r w:rsidRPr="00E96653" w:rsidR="00FE112F">
        <w:t>Australia’s aged care system at a time of significant reform and change</w:t>
      </w:r>
      <w:r w:rsidR="00435BE3">
        <w:t>. Delivering on that mandate requires clarity of purpose, disciplined use of our resources, and a strong organisational core. This plan sets out how we will direct our efforts</w:t>
      </w:r>
      <w:r w:rsidR="00311782">
        <w:rPr>
          <w:rFonts w:cs="Arial"/>
        </w:rPr>
        <w:t xml:space="preserve">, </w:t>
      </w:r>
      <w:r w:rsidR="00435BE3">
        <w:t xml:space="preserve">focusing on the areas where independent scrutiny can have the greatest impact, and ensuring that our work remains rigorous, credible and grounded in evidence. </w:t>
      </w:r>
    </w:p>
    <w:p w:rsidR="00435BE3" w:rsidP="00435BE3" w:rsidRDefault="00435BE3" w14:paraId="09F86D3B" w14:textId="756D9551">
      <w:r>
        <w:t>Our effectiveness depends on how we operate as much as what we examine. We are deliberate in maintaining a workforce and culture defined by integrity, professionalism and inclusion, and in building the capability required to undertake complex system oversight. We prioritise transparency in our methods, and a clear line of sight from lived experience to our analysis and conclusions. As an organisation, we are committed to being both independent and constructive</w:t>
      </w:r>
      <w:r w:rsidR="00311782">
        <w:t>. We w</w:t>
      </w:r>
      <w:r>
        <w:t xml:space="preserve">ork collaboratively where possible, while retaining the authority and discipline needed to hold government to account. </w:t>
      </w:r>
    </w:p>
    <w:p w:rsidRPr="00435BE3" w:rsidR="00435BE3" w:rsidP="002A167B" w:rsidRDefault="00435BE3" w14:paraId="2B6701E1" w14:textId="29320B23">
      <w:r>
        <w:t>Across the life of this plan, we will continue to strengthen the systems, processes and partnerships that underpin our work. This includes sharpening our strategic commissioning and deepening our engagement with First Nations peoples and other communities whose voices must shape reform, and ensuring our performance is measurable, transparent and linked to real system change. Ultimately, this Corporate Plan is not just a statement of what we will do</w:t>
      </w:r>
      <w:r w:rsidR="00BD0D30">
        <w:t xml:space="preserve">; </w:t>
      </w:r>
      <w:r>
        <w:t>it is a statement of how we will operate: with independence, with care, and with a clear and unwavering focus on improving outcomes for older people.</w:t>
      </w:r>
    </w:p>
    <w:p w:rsidRPr="002C275F" w:rsidR="00DA109C" w:rsidP="000D4494" w:rsidRDefault="00DA109C" w14:paraId="35987E17" w14:textId="634461AD">
      <w:r w:rsidRPr="002C275F">
        <w:t xml:space="preserve">As the Accountable Authority, I am pleased to present the </w:t>
      </w:r>
      <w:r w:rsidRPr="002C275F" w:rsidR="00963EC9">
        <w:t xml:space="preserve">2026-27 </w:t>
      </w:r>
      <w:r w:rsidRPr="002C275F" w:rsidR="000A5C23">
        <w:t xml:space="preserve">Corporate Plan </w:t>
      </w:r>
      <w:r w:rsidRPr="002C275F" w:rsidR="00963EC9">
        <w:t xml:space="preserve">for the </w:t>
      </w:r>
      <w:r w:rsidRPr="002C275F">
        <w:t xml:space="preserve">Office of the Inspector-General of Aged Care, which covers the period </w:t>
      </w:r>
      <w:r w:rsidRPr="002C275F" w:rsidR="00F87127">
        <w:t>2026</w:t>
      </w:r>
      <w:r w:rsidRPr="002C275F">
        <w:t>–</w:t>
      </w:r>
      <w:r w:rsidRPr="002C275F" w:rsidR="00773EA2">
        <w:t xml:space="preserve">27 </w:t>
      </w:r>
      <w:r w:rsidRPr="002C275F">
        <w:t xml:space="preserve">to </w:t>
      </w:r>
      <w:r w:rsidRPr="002C275F" w:rsidR="00773EA2">
        <w:t>2029</w:t>
      </w:r>
      <w:r w:rsidRPr="002C275F">
        <w:t>–</w:t>
      </w:r>
      <w:r w:rsidRPr="002C275F" w:rsidR="00773EA2">
        <w:t>30</w:t>
      </w:r>
      <w:r w:rsidRPr="002C275F">
        <w:t xml:space="preserve">, as required under </w:t>
      </w:r>
      <w:r w:rsidRPr="002C275F" w:rsidR="00773EA2">
        <w:t xml:space="preserve">paragraph </w:t>
      </w:r>
      <w:r w:rsidRPr="002C275F">
        <w:t xml:space="preserve">35(1)(b) of the </w:t>
      </w:r>
      <w:r w:rsidRPr="002C275F">
        <w:rPr>
          <w:rStyle w:val="Emphasis"/>
        </w:rPr>
        <w:t>Public Governance, Performance and Accountability Act 2013</w:t>
      </w:r>
      <w:r w:rsidRPr="002C275F">
        <w:t xml:space="preserve"> and in accordance with section 16E of the Public Governance, Performance and Accountability Rule 2014.</w:t>
      </w:r>
    </w:p>
    <w:p w:rsidRPr="0060187C" w:rsidR="00DA77C8" w:rsidP="00DA77C8" w:rsidRDefault="00CC1A51" w14:paraId="1F104413" w14:textId="7CA075B5">
      <w:r w:rsidRPr="00CC1A51">
        <w:rPr>
          <w:noProof/>
        </w:rPr>
        <w:drawing>
          <wp:inline distT="0" distB="0" distL="0" distR="0" wp14:anchorId="20AE4669" wp14:editId="44259694">
            <wp:extent cx="2028476" cy="838200"/>
            <wp:effectExtent l="0" t="0" r="0" b="0"/>
            <wp:docPr id="1255363919" name="Picture 10" descr="Natalie Siegel-Brow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63919" name="Picture 10" descr="Natalie Siegel-Brown signa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9314" cy="842678"/>
                    </a:xfrm>
                    <a:prstGeom prst="rect">
                      <a:avLst/>
                    </a:prstGeom>
                    <a:noFill/>
                    <a:ln>
                      <a:noFill/>
                    </a:ln>
                  </pic:spPr>
                </pic:pic>
              </a:graphicData>
            </a:graphic>
          </wp:inline>
        </w:drawing>
      </w:r>
    </w:p>
    <w:p w:rsidRPr="0060187C" w:rsidR="00E4706A" w:rsidP="00A01491" w:rsidRDefault="00DA109C" w14:paraId="6032366A" w14:textId="0EC4ED3F">
      <w:pPr>
        <w:rPr>
          <w:rStyle w:val="Strong"/>
        </w:rPr>
      </w:pPr>
      <w:r w:rsidRPr="0060187C">
        <w:rPr>
          <w:rStyle w:val="Strong"/>
        </w:rPr>
        <w:t>Natalie Siegel-Brown</w:t>
      </w:r>
    </w:p>
    <w:p w:rsidRPr="002C275F" w:rsidR="00E4706A" w:rsidP="00E4706A" w:rsidRDefault="00E4706A" w14:paraId="015E67C4" w14:textId="671D8178">
      <w:r w:rsidRPr="002C275F">
        <w:t>Inspector-General of Aged Care</w:t>
      </w:r>
    </w:p>
    <w:p w:rsidRPr="002C275F" w:rsidR="002D4BBC" w:rsidP="00E4706A" w:rsidRDefault="002D4BBC" w14:paraId="1DBF79DC" w14:textId="05790C16">
      <w:r w:rsidRPr="002C275F">
        <w:br w:type="page"/>
      </w:r>
    </w:p>
    <w:p w:rsidRPr="002C275F" w:rsidR="002D4BBC" w:rsidP="002D4BBC" w:rsidRDefault="002D4BBC" w14:paraId="744BABE4" w14:textId="77777777">
      <w:pPr>
        <w:pStyle w:val="Heading1"/>
      </w:pPr>
      <w:bookmarkStart w:name="_Toc222308716" w:id="4"/>
      <w:bookmarkStart w:name="_Toc233626457" w:id="5"/>
      <w:r w:rsidRPr="002C275F">
        <w:t>Purpose</w:t>
      </w:r>
      <w:bookmarkEnd w:id="4"/>
      <w:bookmarkEnd w:id="5"/>
    </w:p>
    <w:p w:rsidRPr="002C275F" w:rsidR="00EB0987" w:rsidP="00765921" w:rsidRDefault="00EB0987" w14:paraId="6FB308EE" w14:textId="77777777">
      <w:pPr>
        <w:pStyle w:val="Heading2"/>
      </w:pPr>
      <w:bookmarkStart w:name="_Toc233626458" w:id="6"/>
      <w:r w:rsidRPr="002C275F">
        <w:t>About us</w:t>
      </w:r>
      <w:bookmarkEnd w:id="6"/>
    </w:p>
    <w:p w:rsidRPr="002C275F" w:rsidR="000631F2" w:rsidP="008C25E7" w:rsidRDefault="000631F2" w14:paraId="6CF13B86" w14:textId="059CE969">
      <w:r w:rsidRPr="002C275F">
        <w:t xml:space="preserve">The Royal Commission into Aged Care Quality and Safety (Aged Care Royal Commission) recommended that the Australian Government create an independent Inspector-General and a supporting office. </w:t>
      </w:r>
      <w:r w:rsidRPr="002C275F" w:rsidR="00321A48">
        <w:t>The intention of this recommendation</w:t>
      </w:r>
      <w:r w:rsidRPr="002C275F">
        <w:t xml:space="preserve"> was to ensure the aged care system is subject to ongoing, impartial oversight and that government agencies are held accountable for their processes, decisions and performance.</w:t>
      </w:r>
    </w:p>
    <w:p w:rsidRPr="002C275F" w:rsidR="00321A48" w:rsidP="008C25E7" w:rsidRDefault="00645992" w14:paraId="5E3FC4A5" w14:textId="5BBFE7B4">
      <w:r w:rsidRPr="002C275F">
        <w:t>B</w:t>
      </w:r>
      <w:r w:rsidRPr="002C275F" w:rsidR="00D61E5B">
        <w:t>oth the role of the Inspector-General and the Office of the Inspector-General of Aged Care</w:t>
      </w:r>
      <w:r w:rsidR="005D0F3D">
        <w:t xml:space="preserve"> </w:t>
      </w:r>
      <w:r w:rsidR="0062688E">
        <w:t xml:space="preserve">(the Office) </w:t>
      </w:r>
      <w:r w:rsidRPr="002C275F">
        <w:t xml:space="preserve">were established </w:t>
      </w:r>
      <w:r w:rsidRPr="002C275F" w:rsidR="006F229D">
        <w:t xml:space="preserve">on 16 October 2023 through the </w:t>
      </w:r>
      <w:r w:rsidRPr="002C275F" w:rsidR="006F229D">
        <w:rPr>
          <w:i/>
          <w:iCs/>
        </w:rPr>
        <w:t xml:space="preserve">Inspector-General of Aged Care Act 2023 </w:t>
      </w:r>
      <w:r w:rsidRPr="002C275F" w:rsidR="006F229D">
        <w:t>(IGAC Act).</w:t>
      </w:r>
    </w:p>
    <w:p w:rsidRPr="0060187C" w:rsidR="008C25E7" w:rsidP="008C25E7" w:rsidRDefault="008C25E7" w14:paraId="54343A7A" w14:textId="2898194B">
      <w:r w:rsidRPr="0060187C">
        <w:t xml:space="preserve">The Inspector-General of Aged Care is an independent statutory office holder. </w:t>
      </w:r>
    </w:p>
    <w:p w:rsidRPr="0060187C" w:rsidR="000415AE" w:rsidP="000415AE" w:rsidRDefault="000415AE" w14:paraId="6282A41C" w14:textId="4A2D7516">
      <w:pPr>
        <w:pStyle w:val="Heading2"/>
      </w:pPr>
      <w:bookmarkStart w:name="_Toc233626459" w:id="7"/>
      <w:r w:rsidRPr="0060187C">
        <w:t>What we do</w:t>
      </w:r>
      <w:bookmarkEnd w:id="7"/>
    </w:p>
    <w:p w:rsidRPr="00985B4B" w:rsidR="00A237ED" w:rsidP="006B1C20" w:rsidRDefault="00A237ED" w14:paraId="315228BC" w14:textId="1E23C093">
      <w:r w:rsidRPr="00985B4B">
        <w:t>Our purpose, as outlined in our Strategic Framework, is</w:t>
      </w:r>
      <w:r w:rsidRPr="00985B4B" w:rsidR="00275044">
        <w:t>:</w:t>
      </w:r>
    </w:p>
    <w:p w:rsidRPr="0060187C" w:rsidR="00275044" w:rsidP="00275044" w:rsidRDefault="00275044" w14:paraId="0EC9D7F4" w14:textId="6E0F1C6C">
      <w:pPr>
        <w:pStyle w:val="breakoutbox"/>
      </w:pPr>
      <w:r w:rsidRPr="0060187C">
        <w:t xml:space="preserve">To ensure integrity and accountability of the aged care system through independent, informed oversight. </w:t>
      </w:r>
    </w:p>
    <w:p w:rsidRPr="00985B4B" w:rsidR="00275044" w:rsidP="00985B4B" w:rsidRDefault="00275044" w14:paraId="34A22F20" w14:textId="7EB55D51">
      <w:pPr>
        <w:pStyle w:val="breakoutbox"/>
      </w:pPr>
      <w:r w:rsidRPr="0060187C">
        <w:t>We drive meaningful change by calling out serious barriers and holding up to the light models that would create the meaningful improvement needed to achieve this vision.</w:t>
      </w:r>
    </w:p>
    <w:p w:rsidRPr="00985B4B" w:rsidR="009C6E73" w:rsidP="006B1C20" w:rsidRDefault="00D35987" w14:paraId="2985A9EC" w14:textId="54C254B1">
      <w:r w:rsidRPr="00985B4B">
        <w:t>Driven by our</w:t>
      </w:r>
      <w:r w:rsidRPr="00985B4B" w:rsidR="00FB42DA">
        <w:t xml:space="preserve"> purpose, w</w:t>
      </w:r>
      <w:r w:rsidRPr="00985B4B" w:rsidR="009C6E73">
        <w:t>e report to the Minister for Aged Care and Parliament on how the:</w:t>
      </w:r>
    </w:p>
    <w:p w:rsidRPr="00985B4B" w:rsidR="009C6E73" w:rsidP="00814AA2" w:rsidRDefault="009C6E73" w14:paraId="4BE94F3E" w14:textId="77777777">
      <w:pPr>
        <w:pStyle w:val="ListParagraph"/>
        <w:numPr>
          <w:ilvl w:val="0"/>
          <w:numId w:val="67"/>
        </w:numPr>
      </w:pPr>
      <w:r w:rsidRPr="00985B4B">
        <w:t>aged care system is managed, regulated and funded</w:t>
      </w:r>
    </w:p>
    <w:p w:rsidRPr="00985B4B" w:rsidR="00D443DC" w:rsidP="00814AA2" w:rsidRDefault="009C6E73" w14:paraId="45A232A8" w14:textId="24F099B0">
      <w:pPr>
        <w:pStyle w:val="ListParagraph"/>
        <w:numPr>
          <w:ilvl w:val="0"/>
          <w:numId w:val="67"/>
        </w:numPr>
      </w:pPr>
      <w:r w:rsidRPr="00985B4B">
        <w:t>recomm</w:t>
      </w:r>
      <w:r w:rsidRPr="00985B4B" w:rsidR="00D443DC">
        <w:t>endations of the Aged Care Royal Commission are being implemented.</w:t>
      </w:r>
    </w:p>
    <w:p w:rsidRPr="0060187C" w:rsidR="00D443DC" w:rsidP="00765921" w:rsidRDefault="00D443DC" w14:paraId="364EFC80" w14:textId="7B44ED08">
      <w:r>
        <w:t>We review and report on system-wide issues in the aged care</w:t>
      </w:r>
      <w:r w:rsidR="00E06D58">
        <w:t xml:space="preserve"> sector</w:t>
      </w:r>
      <w:r>
        <w:t xml:space="preserve"> and identify opportunities for positive change. We also contribute submissions to inquiries and consultations about important matters related to aged care.</w:t>
      </w:r>
    </w:p>
    <w:p w:rsidRPr="0060187C" w:rsidR="00A237ED" w:rsidP="00A237ED" w:rsidRDefault="00A237ED" w14:paraId="7F24DBD1" w14:textId="393E2D7B">
      <w:bookmarkStart w:name="_msocom_1" w:id="8"/>
      <w:bookmarkEnd w:id="8"/>
      <w:r w:rsidRPr="00985B4B">
        <w:t>Our</w:t>
      </w:r>
      <w:r w:rsidRPr="00985B4B" w:rsidR="00D443DC">
        <w:t xml:space="preserve"> work is grounded </w:t>
      </w:r>
      <w:r w:rsidRPr="00985B4B">
        <w:t>in</w:t>
      </w:r>
      <w:r w:rsidRPr="00985B4B" w:rsidR="00D443DC">
        <w:t xml:space="preserve"> evidence, experience and feedback from older people and the aged care sector.</w:t>
      </w:r>
    </w:p>
    <w:p w:rsidRPr="0060187C" w:rsidR="00E05829" w:rsidP="00F16FBD" w:rsidRDefault="00E05829" w14:paraId="569E26A5" w14:textId="6E88B8EF">
      <w:pPr>
        <w:pStyle w:val="Heading2"/>
      </w:pPr>
      <w:bookmarkStart w:name="_Our_Strategic_Framework" w:id="9"/>
      <w:bookmarkStart w:name="_Toc222308720" w:id="10"/>
      <w:bookmarkStart w:name="_Toc233626460" w:id="11"/>
      <w:bookmarkEnd w:id="9"/>
      <w:r w:rsidRPr="0060187C">
        <w:t xml:space="preserve">Our </w:t>
      </w:r>
      <w:bookmarkEnd w:id="10"/>
      <w:r w:rsidR="00DF5058">
        <w:t>S</w:t>
      </w:r>
      <w:r w:rsidRPr="0060187C" w:rsidR="00DF5058">
        <w:t xml:space="preserve">trategic </w:t>
      </w:r>
      <w:r w:rsidR="00DF5058">
        <w:t>F</w:t>
      </w:r>
      <w:r w:rsidRPr="0060187C" w:rsidR="00DF5058">
        <w:t>ramework</w:t>
      </w:r>
      <w:bookmarkEnd w:id="11"/>
    </w:p>
    <w:p w:rsidRPr="00985B4B" w:rsidR="003B3226" w:rsidP="003B3226" w:rsidRDefault="003B3226" w14:paraId="59284EB8" w14:textId="439043CA">
      <w:r w:rsidRPr="00985B4B">
        <w:t xml:space="preserve">Our </w:t>
      </w:r>
      <w:r w:rsidRPr="00814AA2" w:rsidR="00D46578">
        <w:t>Strategic Framework</w:t>
      </w:r>
      <w:r w:rsidRPr="00985B4B" w:rsidR="00454B7E">
        <w:t xml:space="preserve"> </w:t>
      </w:r>
      <w:r w:rsidRPr="00985B4B">
        <w:t>outlines how we deliver our legislative remit.</w:t>
      </w:r>
    </w:p>
    <w:p w:rsidRPr="00985B4B" w:rsidR="003B3226" w:rsidP="003B3226" w:rsidRDefault="00DF5058" w14:paraId="2AF6D262" w14:textId="354C63BB">
      <w:r>
        <w:t>It</w:t>
      </w:r>
      <w:r w:rsidRPr="00985B4B" w:rsidR="003B3226">
        <w:t xml:space="preserve"> informs </w:t>
      </w:r>
      <w:r>
        <w:t>the</w:t>
      </w:r>
      <w:r w:rsidRPr="00985B4B">
        <w:t xml:space="preserve"> </w:t>
      </w:r>
      <w:r w:rsidRPr="00985B4B" w:rsidR="003B3226">
        <w:t>decision</w:t>
      </w:r>
      <w:r>
        <w:t>s we</w:t>
      </w:r>
      <w:r w:rsidRPr="00985B4B" w:rsidR="003B3226">
        <w:t xml:space="preserve"> </w:t>
      </w:r>
      <w:r w:rsidRPr="00985B4B">
        <w:t>mak</w:t>
      </w:r>
      <w:r>
        <w:t>e</w:t>
      </w:r>
      <w:r w:rsidRPr="00985B4B">
        <w:t xml:space="preserve"> </w:t>
      </w:r>
      <w:r w:rsidRPr="00985B4B" w:rsidR="008357EF">
        <w:t>and</w:t>
      </w:r>
      <w:r w:rsidRPr="00985B4B" w:rsidR="00145BDE">
        <w:t xml:space="preserve"> ensures we</w:t>
      </w:r>
      <w:r w:rsidRPr="00985B4B" w:rsidR="003B3226">
        <w:t xml:space="preserve"> direct our efforts towards areas where improved care models can be developed and meaningful outcomes achieved.</w:t>
      </w:r>
    </w:p>
    <w:p w:rsidRPr="00985B4B" w:rsidR="007722A3" w:rsidP="003B3226" w:rsidRDefault="00E20C3E" w14:paraId="3F730A76" w14:textId="3C057525">
      <w:r>
        <w:t>O</w:t>
      </w:r>
      <w:r w:rsidRPr="00985B4B" w:rsidR="007722A3">
        <w:t xml:space="preserve">ur work is underpinned by our vision of an aged care system where every person receives kind, compassionate </w:t>
      </w:r>
      <w:r w:rsidRPr="00985B4B" w:rsidR="00186951">
        <w:t>high-quality</w:t>
      </w:r>
      <w:r w:rsidRPr="00985B4B" w:rsidR="007722A3">
        <w:t xml:space="preserve"> care that promotes their rights, identity and independence.</w:t>
      </w:r>
    </w:p>
    <w:p w:rsidRPr="0060187C" w:rsidR="003B3226" w:rsidP="003B3226" w:rsidRDefault="00294344" w14:paraId="3FFE28A1" w14:textId="6CC21082">
      <w:r w:rsidRPr="00294344">
        <w:rPr>
          <w:noProof/>
        </w:rPr>
        <w:drawing>
          <wp:inline distT="0" distB="0" distL="0" distR="0" wp14:anchorId="2DA6C529" wp14:editId="19EC3D6D">
            <wp:extent cx="5972810" cy="6719570"/>
            <wp:effectExtent l="0" t="0" r="8890" b="5080"/>
            <wp:docPr id="1871701190" name="Picture 1" descr="The Office of the Inspector-General of Aged Care's strategic framework is underpinned by the vision of an aged care system where every person receives kind, compassionate, high-quality care that promotes their rights, identity and independence.&#10;&#10;The purpose of the Office is to ensure integrity and accountability of the aged care system through independent, informed oversight. We drive meaningful change by calling out serious barriers and holding up to the light models that would create the meaningful improvement needed to achieve this vision.&#10;&#10;The 4 outcomes are:&#10;1. Drive meaningful change to achieve rights-based, high-quality care.&#10;2. Build trust and confidence in the aged care system.&#10;3. Promote system-wide transparency.&#10;4. Illustrate how government can achieve equitable, person-centred aged ca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01190" name="Picture 1" descr="The Office of the Inspector-General of Aged Care's strategic framework is underpinned by the vision of an aged care system where every person receives kind, compassionate, high-quality care that promotes their rights, identity and independence.&#10;&#10;The purpose of the Office is to ensure integrity and accountability of the aged care system through independent, informed oversight. We drive meaningful change by calling out serious barriers and holding up to the light models that would create the meaningful improvement needed to achieve this vision.&#10;&#10;The 4 outcomes are:&#10;1. Drive meaningful change to achieve rights-based, high-quality care.&#10;2. Build trust and confidence in the aged care system.&#10;3. Promote system-wide transparency.&#10;4. Illustrate how government can achieve equitable, person-centred aged care.&#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2810" cy="6719570"/>
                    </a:xfrm>
                    <a:prstGeom prst="rect">
                      <a:avLst/>
                    </a:prstGeom>
                    <a:noFill/>
                    <a:ln>
                      <a:noFill/>
                    </a:ln>
                  </pic:spPr>
                </pic:pic>
              </a:graphicData>
            </a:graphic>
          </wp:inline>
        </w:drawing>
      </w:r>
    </w:p>
    <w:p w:rsidRPr="0060187C" w:rsidR="003B3226" w:rsidP="003B3226" w:rsidRDefault="003B3226" w14:paraId="316CEE34" w14:textId="35A53A95">
      <w:pPr>
        <w:pStyle w:val="Caption"/>
      </w:pPr>
      <w:r w:rsidRPr="0060187C">
        <w:t xml:space="preserve">Figure </w:t>
      </w:r>
      <w:r w:rsidRPr="0060187C">
        <w:fldChar w:fldCharType="begin"/>
      </w:r>
      <w:r w:rsidRPr="0060187C">
        <w:instrText xml:space="preserve"> SEQ Figure \* ARABIC </w:instrText>
      </w:r>
      <w:r w:rsidRPr="0060187C">
        <w:fldChar w:fldCharType="separate"/>
      </w:r>
      <w:r w:rsidRPr="00C53856">
        <w:t>1</w:t>
      </w:r>
      <w:r w:rsidRPr="0060187C">
        <w:fldChar w:fldCharType="end"/>
      </w:r>
      <w:r w:rsidRPr="0060187C">
        <w:t>: Office of the Inspector-General of Aged Care Strategic Framework</w:t>
      </w:r>
    </w:p>
    <w:p w:rsidR="00F363BD" w:rsidRDefault="00F363BD" w14:paraId="0E308077" w14:textId="77777777">
      <w:pPr>
        <w:spacing w:before="0" w:after="0"/>
        <w:rPr>
          <w:rFonts w:eastAsiaTheme="majorEastAsia" w:cstheme="minorHAnsi"/>
          <w:color w:val="58227B"/>
          <w:sz w:val="28"/>
          <w:szCs w:val="26"/>
        </w:rPr>
      </w:pPr>
      <w:bookmarkStart w:name="_Toc222308721" w:id="12"/>
      <w:r>
        <w:br w:type="page"/>
      </w:r>
    </w:p>
    <w:p w:rsidRPr="0060187C" w:rsidR="00E05829" w:rsidP="00C53856" w:rsidRDefault="00E05829" w14:paraId="26CC50F3" w14:textId="08C87B57">
      <w:pPr>
        <w:pStyle w:val="Heading3"/>
      </w:pPr>
      <w:r w:rsidRPr="0060187C">
        <w:t>Ou</w:t>
      </w:r>
      <w:r w:rsidRPr="0060187C" w:rsidR="003B3226">
        <w:t>tcomes</w:t>
      </w:r>
      <w:bookmarkEnd w:id="12"/>
    </w:p>
    <w:p w:rsidRPr="00C53856" w:rsidR="003B3226" w:rsidP="003B3226" w:rsidRDefault="00454B7E" w14:paraId="33DA0D58" w14:textId="4BEFF0DC">
      <w:r w:rsidRPr="00C53856">
        <w:t xml:space="preserve">The </w:t>
      </w:r>
      <w:r w:rsidR="005F2F5A">
        <w:t>Strategic F</w:t>
      </w:r>
      <w:r w:rsidRPr="00C53856" w:rsidR="003B3226">
        <w:t xml:space="preserve">ramework identifies </w:t>
      </w:r>
      <w:r w:rsidRPr="00C53856">
        <w:t xml:space="preserve">4 </w:t>
      </w:r>
      <w:r w:rsidRPr="00C53856" w:rsidR="003B3226">
        <w:t>outcomes that support our purpose. These outcomes describe the broader impacts we aim to achieve through our oversight and engagement activities:</w:t>
      </w:r>
    </w:p>
    <w:p w:rsidRPr="00C53856" w:rsidR="003B3226" w:rsidP="00814AA2" w:rsidRDefault="003B3226" w14:paraId="34C47C62" w14:textId="0B93CBA2">
      <w:pPr>
        <w:pStyle w:val="ListNumber"/>
        <w:numPr>
          <w:ilvl w:val="0"/>
          <w:numId w:val="27"/>
        </w:numPr>
        <w:ind w:left="714" w:hanging="357"/>
        <w:rPr>
          <w:lang w:val="en-AU"/>
        </w:rPr>
      </w:pPr>
      <w:r w:rsidRPr="00C53856">
        <w:rPr>
          <w:lang w:val="en-AU"/>
        </w:rPr>
        <w:t>Drive meaningful change to achieve rights-based, high-quality care.</w:t>
      </w:r>
    </w:p>
    <w:p w:rsidRPr="00C53856" w:rsidR="003B3226" w:rsidP="00814AA2" w:rsidRDefault="003B3226" w14:paraId="09ADDF9A" w14:textId="44C26748">
      <w:pPr>
        <w:pStyle w:val="ListNumber"/>
        <w:numPr>
          <w:ilvl w:val="0"/>
          <w:numId w:val="27"/>
        </w:numPr>
        <w:ind w:left="714" w:hanging="357"/>
        <w:rPr>
          <w:lang w:val="en-AU"/>
        </w:rPr>
      </w:pPr>
      <w:r w:rsidRPr="00C53856">
        <w:rPr>
          <w:lang w:val="en-AU"/>
        </w:rPr>
        <w:t>Build trust and confidence in the aged care system.</w:t>
      </w:r>
    </w:p>
    <w:p w:rsidRPr="00C53856" w:rsidR="003B3226" w:rsidP="00814AA2" w:rsidRDefault="003B3226" w14:paraId="1DADEFD7" w14:textId="56CECB13">
      <w:pPr>
        <w:pStyle w:val="ListNumber"/>
        <w:numPr>
          <w:ilvl w:val="0"/>
          <w:numId w:val="27"/>
        </w:numPr>
        <w:ind w:left="714" w:hanging="357"/>
        <w:rPr>
          <w:lang w:val="en-AU"/>
        </w:rPr>
      </w:pPr>
      <w:r w:rsidRPr="00C53856">
        <w:rPr>
          <w:lang w:val="en-AU"/>
        </w:rPr>
        <w:t>Promote system-wide transparency.</w:t>
      </w:r>
    </w:p>
    <w:p w:rsidRPr="00C53856" w:rsidR="003B3226" w:rsidP="00814AA2" w:rsidRDefault="003B3226" w14:paraId="5CD7576F" w14:textId="77D398A4">
      <w:pPr>
        <w:pStyle w:val="ListNumber"/>
        <w:numPr>
          <w:ilvl w:val="0"/>
          <w:numId w:val="27"/>
        </w:numPr>
        <w:ind w:left="714" w:hanging="357"/>
        <w:rPr>
          <w:lang w:val="en-AU"/>
        </w:rPr>
      </w:pPr>
      <w:r w:rsidRPr="00C53856">
        <w:rPr>
          <w:lang w:val="en-AU"/>
        </w:rPr>
        <w:t xml:space="preserve">Illustrate how government can achieve </w:t>
      </w:r>
      <w:r w:rsidRPr="00C53856" w:rsidR="002B1BD5">
        <w:rPr>
          <w:lang w:val="en-AU"/>
        </w:rPr>
        <w:t>e</w:t>
      </w:r>
      <w:r w:rsidRPr="00C53856">
        <w:rPr>
          <w:lang w:val="en-AU"/>
        </w:rPr>
        <w:t xml:space="preserve">quitable, person-centred aged care. </w:t>
      </w:r>
    </w:p>
    <w:p w:rsidRPr="0060187C" w:rsidR="003B3226" w:rsidP="00C53856" w:rsidRDefault="00BB4AE9" w14:paraId="1F5FADD8" w14:textId="4EF8134B">
      <w:pPr>
        <w:pStyle w:val="Heading3"/>
      </w:pPr>
      <w:bookmarkStart w:name="_Objectives" w:id="13"/>
      <w:bookmarkStart w:name="_Toc222308722" w:id="14"/>
      <w:bookmarkEnd w:id="13"/>
      <w:r>
        <w:t>Strategic o</w:t>
      </w:r>
      <w:r w:rsidRPr="0060187C" w:rsidR="003B3226">
        <w:t>bjectives</w:t>
      </w:r>
      <w:bookmarkEnd w:id="14"/>
    </w:p>
    <w:p w:rsidRPr="0060187C" w:rsidR="003B3226" w:rsidP="003B3226" w:rsidRDefault="003B3226" w14:paraId="303D052F" w14:textId="50EBAAC8">
      <w:r w:rsidRPr="0060187C">
        <w:t>Our</w:t>
      </w:r>
      <w:r w:rsidR="00BB4AE9">
        <w:t xml:space="preserve"> strategic</w:t>
      </w:r>
      <w:r w:rsidRPr="0060187C">
        <w:t xml:space="preserve"> objectives explain how we will achieve these outcomes and where we will focus our resources and efforts in the coming years.</w:t>
      </w:r>
    </w:p>
    <w:p w:rsidRPr="00814AA2" w:rsidR="003B3226" w:rsidP="00814AA2" w:rsidRDefault="003B3226" w14:paraId="6D8C4146" w14:textId="679DEA93">
      <w:pPr>
        <w:pStyle w:val="ListNumber"/>
        <w:numPr>
          <w:ilvl w:val="0"/>
          <w:numId w:val="66"/>
        </w:numPr>
        <w:rPr>
          <w:lang w:val="en-AU"/>
        </w:rPr>
      </w:pPr>
      <w:r w:rsidRPr="00814AA2">
        <w:rPr>
          <w:lang w:val="en-AU"/>
        </w:rPr>
        <w:t>Our work calls out the systemic problems and opportunities that lead to the greatest change in aged care.</w:t>
      </w:r>
    </w:p>
    <w:p w:rsidRPr="00C53856" w:rsidR="003B3226" w:rsidP="00814AA2" w:rsidRDefault="003B3226" w14:paraId="799D3588" w14:textId="7D02557B">
      <w:pPr>
        <w:pStyle w:val="ListNumber"/>
        <w:numPr>
          <w:ilvl w:val="0"/>
          <w:numId w:val="27"/>
        </w:numPr>
        <w:ind w:left="714" w:hanging="357"/>
        <w:rPr>
          <w:lang w:val="en-AU"/>
        </w:rPr>
      </w:pPr>
      <w:r w:rsidRPr="00C53856">
        <w:rPr>
          <w:lang w:val="en-AU"/>
        </w:rPr>
        <w:t>We maximise the influence of our work. We build and cement a strong, trusted profile in both the aged care sector and the public landscape as an oversight body and agent for positive change.</w:t>
      </w:r>
    </w:p>
    <w:p w:rsidRPr="00C53856" w:rsidR="003B3226" w:rsidP="00814AA2" w:rsidRDefault="003B3226" w14:paraId="0145B77E" w14:textId="2C5B21C0">
      <w:pPr>
        <w:pStyle w:val="ListNumber"/>
        <w:numPr>
          <w:ilvl w:val="0"/>
          <w:numId w:val="27"/>
        </w:numPr>
        <w:ind w:left="714" w:hanging="357"/>
        <w:rPr>
          <w:lang w:val="en-AU"/>
        </w:rPr>
      </w:pPr>
      <w:r w:rsidRPr="00C53856">
        <w:rPr>
          <w:lang w:val="en-AU"/>
        </w:rPr>
        <w:t>Our work highlights experiences of those most vulnerable and who face the greatest barriers to equity in the upholding of their rights.</w:t>
      </w:r>
    </w:p>
    <w:p w:rsidRPr="00C53856" w:rsidR="003B3226" w:rsidP="00814AA2" w:rsidRDefault="003B3226" w14:paraId="238B7B32" w14:textId="39B9428F">
      <w:pPr>
        <w:pStyle w:val="ListNumber"/>
        <w:numPr>
          <w:ilvl w:val="0"/>
          <w:numId w:val="27"/>
        </w:numPr>
        <w:ind w:left="714" w:hanging="357"/>
        <w:rPr>
          <w:lang w:val="en-AU"/>
        </w:rPr>
      </w:pPr>
      <w:r w:rsidRPr="00C53856">
        <w:rPr>
          <w:lang w:val="en-AU"/>
        </w:rPr>
        <w:t>Our way of working and our aims are well known.</w:t>
      </w:r>
    </w:p>
    <w:p w:rsidR="003B3226" w:rsidP="00F15771" w:rsidRDefault="003B3226" w14:paraId="588DD83B" w14:textId="1E090940">
      <w:pPr>
        <w:pStyle w:val="ListNumber"/>
        <w:numPr>
          <w:ilvl w:val="0"/>
          <w:numId w:val="27"/>
        </w:numPr>
        <w:ind w:left="714" w:hanging="357"/>
        <w:rPr>
          <w:lang w:val="en-AU"/>
        </w:rPr>
      </w:pPr>
      <w:r w:rsidRPr="00C53856">
        <w:rPr>
          <w:lang w:val="en-AU"/>
        </w:rPr>
        <w:t>We are a safe, welcoming, capable organisation of deep integrity that people love to work for.</w:t>
      </w:r>
    </w:p>
    <w:p w:rsidR="00906602" w:rsidRDefault="00D46578" w14:paraId="540ABB63" w14:textId="26EBF66F">
      <w:pPr>
        <w:spacing w:before="0" w:after="0"/>
      </w:pPr>
      <w:r w:rsidRPr="0060187C">
        <w:t xml:space="preserve">For more detail, see our </w:t>
      </w:r>
      <w:hyperlink w:history="1" r:id="rId18">
        <w:r w:rsidRPr="008E18D1">
          <w:rPr>
            <w:rStyle w:val="Hyperlink"/>
          </w:rPr>
          <w:t>Strategic Framework</w:t>
        </w:r>
      </w:hyperlink>
      <w:r w:rsidRPr="0060187C">
        <w:t>.</w:t>
      </w:r>
      <w:r w:rsidR="00906602">
        <w:br w:type="page"/>
      </w:r>
    </w:p>
    <w:p w:rsidRPr="0060187C" w:rsidR="008635A3" w:rsidP="00174A08" w:rsidRDefault="008635A3" w14:paraId="012B7A7F" w14:textId="77777777">
      <w:pPr>
        <w:pStyle w:val="Heading2"/>
        <w:spacing w:before="240"/>
      </w:pPr>
      <w:bookmarkStart w:name="_Toc233626461" w:id="15"/>
      <w:r w:rsidRPr="0060187C">
        <w:t xml:space="preserve">Our </w:t>
      </w:r>
      <w:r>
        <w:t xml:space="preserve">guiding </w:t>
      </w:r>
      <w:r w:rsidRPr="0060187C">
        <w:t>principles</w:t>
      </w:r>
      <w:bookmarkEnd w:id="15"/>
    </w:p>
    <w:p w:rsidR="008635A3" w:rsidP="008635A3" w:rsidRDefault="008635A3" w14:paraId="7C07013F" w14:textId="77777777">
      <w:r w:rsidRPr="007912D8">
        <w:t xml:space="preserve">Our </w:t>
      </w:r>
      <w:r w:rsidRPr="00DC11D0">
        <w:rPr>
          <w:rStyle w:val="Strong"/>
          <w:b w:val="0"/>
          <w:bCs w:val="0"/>
          <w:color w:val="auto"/>
        </w:rPr>
        <w:t>guiding principles</w:t>
      </w:r>
      <w:r w:rsidRPr="007912D8">
        <w:t xml:space="preserve"> </w:t>
      </w:r>
      <w:r>
        <w:t xml:space="preserve">form the foundation of our governance </w:t>
      </w:r>
      <w:proofErr w:type="gramStart"/>
      <w:r>
        <w:t>framework, and</w:t>
      </w:r>
      <w:proofErr w:type="gramEnd"/>
      <w:r>
        <w:t xml:space="preserve"> support effective risk oversight and assurance activities. They </w:t>
      </w:r>
      <w:r w:rsidRPr="0060187C">
        <w:t xml:space="preserve">shape how we work, engage with others, and fulfil our purpose: promoting an accountable, fair and high-quality aged care system through independent oversight. </w:t>
      </w:r>
    </w:p>
    <w:p w:rsidRPr="0060187C" w:rsidR="008635A3" w:rsidP="008635A3" w:rsidRDefault="008635A3" w14:paraId="33C7C70C" w14:textId="77777777">
      <w:r w:rsidRPr="0060187C">
        <w:t>We are committed to ensuring our work is inclusive and responsive to the diverse needs of everyone we serve. This includes First Nations peoples, people from culturally and linguistically diverse backgrounds, people with disability, LGBTIQ+ communities, and all individuals who bring different perspectives, identities and life experiences. This commitment guides our approach to engagement, communication and decision-making across all areas of our work.</w:t>
      </w:r>
    </w:p>
    <w:p w:rsidR="008635A3" w:rsidP="008635A3" w:rsidRDefault="008635A3" w14:paraId="122BF1CD" w14:textId="5537C43A">
      <w:pPr>
        <w:rPr>
          <w:noProof/>
        </w:rPr>
      </w:pPr>
      <w:r w:rsidRPr="0014152D">
        <w:rPr>
          <w:noProof/>
        </w:rPr>
        <w:t xml:space="preserve"> </w:t>
      </w:r>
      <w:r w:rsidRPr="007A6214" w:rsidR="007A6214">
        <w:rPr>
          <w:noProof/>
        </w:rPr>
        <w:t xml:space="preserve"> </w:t>
      </w:r>
      <w:r w:rsidRPr="007A6214" w:rsidR="007A6214">
        <w:rPr>
          <w:noProof/>
        </w:rPr>
        <w:drawing>
          <wp:inline distT="0" distB="0" distL="0" distR="0" wp14:anchorId="1CAAF0FC" wp14:editId="0E3DCB9A">
            <wp:extent cx="5972810" cy="4624705"/>
            <wp:effectExtent l="0" t="0" r="8890" b="4445"/>
            <wp:docPr id="1319756514" name="Picture 2" descr="Inclusive: Fairness, integrity, inclusivity are at the heart of how we work.&#10;&#10;Evidence-based: We use robust data and evidence to oversee the system, drawing on lived experience as a critical informant.&#10;&#10;Accountable: We hold ourselves to the same high standard of transparency that we seek in others.&#10;&#10;Objective: We are wholly independent, free from influence and uphold the integrity needed to hold others accountable.&#10;&#10;Actionable: Our recommendations are practical and actionable and focus where the most meaningful, positive change in aged care can be achieved.&#10;&#10;Innovative: Beyond monitoring, reviewing and reporting, we seek innovative ways to drive impact and inspire chan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56514" name="Picture 2" descr="Inclusive: Fairness, integrity, inclusivity are at the heart of how we work.&#10;&#10;Evidence-based: We use robust data and evidence to oversee the system, drawing on lived experience as a critical informant.&#10;&#10;Accountable: We hold ourselves to the same high standard of transparency that we seek in others.&#10;&#10;Objective: We are wholly independent, free from influence and uphold the integrity needed to hold others accountable.&#10;&#10;Actionable: Our recommendations are practical and actionable and focus where the most meaningful, positive change in aged care can be achieved.&#10;&#10;Innovative: Beyond monitoring, reviewing and reporting, we seek innovative ways to drive impact and inspire change.&#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810" cy="4624705"/>
                    </a:xfrm>
                    <a:prstGeom prst="rect">
                      <a:avLst/>
                    </a:prstGeom>
                    <a:noFill/>
                    <a:ln>
                      <a:noFill/>
                    </a:ln>
                  </pic:spPr>
                </pic:pic>
              </a:graphicData>
            </a:graphic>
          </wp:inline>
        </w:drawing>
      </w:r>
    </w:p>
    <w:p w:rsidRPr="0060187C" w:rsidR="008635A3" w:rsidP="008635A3" w:rsidRDefault="008635A3" w14:paraId="3AE8022A" w14:textId="0E00AA04">
      <w:pPr>
        <w:pStyle w:val="Caption"/>
      </w:pPr>
      <w:r w:rsidRPr="0060187C">
        <w:t xml:space="preserve">Figure </w:t>
      </w:r>
      <w:r w:rsidR="0067520E">
        <w:t>2</w:t>
      </w:r>
      <w:r w:rsidRPr="0060187C">
        <w:t xml:space="preserve">: Office of the Inspector-General of Aged Care </w:t>
      </w:r>
      <w:r>
        <w:t>guiding principles</w:t>
      </w:r>
    </w:p>
    <w:p w:rsidRPr="0060187C" w:rsidR="004A2004" w:rsidP="003B3226" w:rsidRDefault="004A2004" w14:paraId="45EF1E15" w14:textId="1F513F76">
      <w:r w:rsidRPr="0060187C">
        <w:br w:type="page"/>
      </w:r>
    </w:p>
    <w:p w:rsidRPr="005D1182" w:rsidR="004A2004" w:rsidP="007B5C3F" w:rsidRDefault="004A2004" w14:paraId="1315A0F6" w14:textId="52B4E90F">
      <w:pPr>
        <w:pStyle w:val="Heading1"/>
        <w:spacing w:after="120"/>
      </w:pPr>
      <w:bookmarkStart w:name="_Toc222308727" w:id="16"/>
      <w:bookmarkStart w:name="_Toc233626462" w:id="17"/>
      <w:r w:rsidRPr="005D1182">
        <w:t>Key activities</w:t>
      </w:r>
      <w:bookmarkEnd w:id="16"/>
      <w:bookmarkEnd w:id="17"/>
    </w:p>
    <w:p w:rsidR="00943227" w:rsidP="00943227" w:rsidRDefault="00943227" w14:paraId="2F38E66E" w14:textId="2EE22972">
      <w:r w:rsidRPr="0060187C">
        <w:t xml:space="preserve">Each year the Inspector-General develops and publishes an Annual Work Plan. </w:t>
      </w:r>
      <w:r w:rsidR="00CA6C17">
        <w:t>T</w:t>
      </w:r>
      <w:r w:rsidRPr="0060187C">
        <w:t xml:space="preserve">he Annual Work Plan sets out </w:t>
      </w:r>
      <w:r w:rsidR="00B57CC2">
        <w:t xml:space="preserve">our priorities, and </w:t>
      </w:r>
      <w:r w:rsidRPr="0060187C">
        <w:t>the specific activities</w:t>
      </w:r>
      <w:r w:rsidR="000F064E">
        <w:t xml:space="preserve"> and</w:t>
      </w:r>
      <w:r w:rsidRPr="0060187C">
        <w:t xml:space="preserve"> projects we will </w:t>
      </w:r>
      <w:r w:rsidR="000F064E">
        <w:t>undertake</w:t>
      </w:r>
      <w:r w:rsidRPr="0060187C">
        <w:t xml:space="preserve"> over the coming year</w:t>
      </w:r>
      <w:r w:rsidR="000F064E">
        <w:t xml:space="preserve"> to achieve our purpose</w:t>
      </w:r>
      <w:r w:rsidRPr="0060187C">
        <w:t>.</w:t>
      </w:r>
    </w:p>
    <w:p w:rsidRPr="00E135A8" w:rsidR="00E135A8" w:rsidP="00880014" w:rsidRDefault="00E135A8" w14:paraId="4EA4FC30" w14:textId="30BD5924">
      <w:pPr>
        <w:pStyle w:val="Heading2"/>
        <w:spacing w:before="120" w:after="40"/>
      </w:pPr>
      <w:bookmarkStart w:name="_Toc225176503" w:id="18"/>
      <w:bookmarkStart w:name="_Toc233626463" w:id="19"/>
      <w:r w:rsidRPr="00E135A8">
        <w:t xml:space="preserve">2026-27 priority: </w:t>
      </w:r>
      <w:bookmarkEnd w:id="18"/>
      <w:r w:rsidR="00C23ECA">
        <w:t>From action to impact</w:t>
      </w:r>
      <w:bookmarkEnd w:id="19"/>
    </w:p>
    <w:p w:rsidRPr="00D97834" w:rsidR="00FC5E9D" w:rsidP="00D154D8" w:rsidRDefault="00FC5E9D" w14:paraId="7029F299" w14:textId="45F84C3E">
      <w:pPr>
        <w:rPr>
          <w:i/>
          <w:iCs/>
        </w:rPr>
      </w:pPr>
      <w:r w:rsidRPr="00B208FD">
        <w:rPr>
          <w:rFonts w:eastAsia="Malgun Gothic" w:cs="Calibri"/>
          <w:szCs w:val="22"/>
          <w14:ligatures w14:val="none"/>
        </w:rPr>
        <w:t xml:space="preserve">In 2025–26, our work was guided by the theme </w:t>
      </w:r>
      <w:r w:rsidRPr="00C11469">
        <w:rPr>
          <w:rFonts w:eastAsia="Malgun Gothic" w:cs="Calibri"/>
          <w:szCs w:val="22"/>
          <w14:ligatures w14:val="none"/>
        </w:rPr>
        <w:t xml:space="preserve">‘From aspiration to action: </w:t>
      </w:r>
      <w:r>
        <w:rPr>
          <w:rFonts w:eastAsia="Malgun Gothic" w:cs="Calibri"/>
          <w:szCs w:val="22"/>
          <w14:ligatures w14:val="none"/>
        </w:rPr>
        <w:t>R</w:t>
      </w:r>
      <w:r w:rsidRPr="00C11469">
        <w:rPr>
          <w:rFonts w:eastAsia="Malgun Gothic" w:cs="Calibri"/>
          <w:szCs w:val="22"/>
          <w14:ligatures w14:val="none"/>
        </w:rPr>
        <w:t>ealising human rights and person-centred care in aged care’</w:t>
      </w:r>
      <w:r w:rsidRPr="00B208FD">
        <w:rPr>
          <w:rFonts w:eastAsia="Malgun Gothic" w:cs="Calibri"/>
          <w:szCs w:val="22"/>
          <w14:ligatures w14:val="none"/>
        </w:rPr>
        <w:t>. That work reflected a system in transition</w:t>
      </w:r>
      <w:r>
        <w:rPr>
          <w:rFonts w:eastAsia="Malgun Gothic" w:cs="Calibri"/>
          <w:szCs w:val="22"/>
          <w14:ligatures w14:val="none"/>
        </w:rPr>
        <w:t xml:space="preserve">, </w:t>
      </w:r>
      <w:r w:rsidRPr="00B208FD">
        <w:rPr>
          <w:rFonts w:eastAsia="Malgun Gothic" w:cs="Calibri"/>
          <w:szCs w:val="22"/>
          <w14:ligatures w14:val="none"/>
        </w:rPr>
        <w:t xml:space="preserve">where the principles of the new </w:t>
      </w:r>
      <w:r>
        <w:rPr>
          <w:rFonts w:eastAsia="Malgun Gothic" w:cs="Calibri"/>
          <w:i/>
          <w:iCs/>
          <w:szCs w:val="22"/>
          <w14:ligatures w14:val="none"/>
        </w:rPr>
        <w:t>Aged Care Act 2024</w:t>
      </w:r>
      <w:r w:rsidRPr="00B208FD">
        <w:rPr>
          <w:rFonts w:eastAsia="Malgun Gothic" w:cs="Calibri"/>
          <w:szCs w:val="22"/>
          <w14:ligatures w14:val="none"/>
        </w:rPr>
        <w:t xml:space="preserve"> were being defined and embedded. In 2026</w:t>
      </w:r>
      <w:r>
        <w:rPr>
          <w:rFonts w:eastAsia="Malgun Gothic" w:cs="Calibri"/>
          <w:szCs w:val="22"/>
          <w14:ligatures w14:val="none"/>
        </w:rPr>
        <w:t>-</w:t>
      </w:r>
      <w:r w:rsidRPr="00B208FD">
        <w:rPr>
          <w:rFonts w:eastAsia="Malgun Gothic" w:cs="Calibri"/>
          <w:szCs w:val="22"/>
          <w14:ligatures w14:val="none"/>
        </w:rPr>
        <w:t>27, we move to the next stage: testing whether those commitments are translating into real-world impact for older people and</w:t>
      </w:r>
      <w:r>
        <w:rPr>
          <w:rFonts w:eastAsia="Malgun Gothic" w:cs="Calibri"/>
          <w:szCs w:val="22"/>
          <w14:ligatures w14:val="none"/>
        </w:rPr>
        <w:t>,</w:t>
      </w:r>
      <w:r w:rsidRPr="00B208FD">
        <w:rPr>
          <w:rFonts w:eastAsia="Malgun Gothic" w:cs="Calibri"/>
          <w:szCs w:val="22"/>
          <w14:ligatures w14:val="none"/>
        </w:rPr>
        <w:t xml:space="preserve"> where they are not, identifying </w:t>
      </w:r>
      <w:r>
        <w:rPr>
          <w:rFonts w:eastAsia="Malgun Gothic" w:cs="Calibri"/>
          <w:szCs w:val="22"/>
          <w14:ligatures w14:val="none"/>
        </w:rPr>
        <w:t>change needed.</w:t>
      </w:r>
    </w:p>
    <w:p w:rsidRPr="00D154D8" w:rsidR="00D154D8" w:rsidP="00D154D8" w:rsidRDefault="00D154D8" w14:paraId="15AEBC8D" w14:textId="3A4AEE86">
      <w:r w:rsidRPr="00D154D8">
        <w:t xml:space="preserve">The key </w:t>
      </w:r>
      <w:r>
        <w:t>activities</w:t>
      </w:r>
      <w:r w:rsidRPr="00D154D8">
        <w:t xml:space="preserve"> we will undertake or commence this year to address this priority are:</w:t>
      </w:r>
    </w:p>
    <w:p w:rsidRPr="009C1FE4" w:rsidR="00D154D8" w:rsidP="002E494B" w:rsidRDefault="003E12AE" w14:paraId="6B841FA6" w14:textId="3E5D1F13">
      <w:pPr>
        <w:pStyle w:val="Heading3"/>
        <w:spacing w:before="120" w:after="40"/>
        <w:rPr>
          <w:sz w:val="27"/>
          <w:szCs w:val="27"/>
        </w:rPr>
      </w:pPr>
      <w:r w:rsidRPr="009C1FE4">
        <w:rPr>
          <w:sz w:val="27"/>
          <w:szCs w:val="27"/>
        </w:rPr>
        <w:t>1</w:t>
      </w:r>
      <w:r w:rsidR="009C1FE4">
        <w:rPr>
          <w:sz w:val="27"/>
          <w:szCs w:val="27"/>
        </w:rPr>
        <w:t>.</w:t>
      </w:r>
      <w:r w:rsidRPr="009C1FE4">
        <w:rPr>
          <w:sz w:val="27"/>
          <w:szCs w:val="27"/>
        </w:rPr>
        <w:t xml:space="preserve"> </w:t>
      </w:r>
      <w:r w:rsidRPr="009C1FE4" w:rsidR="00D154D8">
        <w:rPr>
          <w:sz w:val="27"/>
          <w:szCs w:val="27"/>
        </w:rPr>
        <w:t>Review</w:t>
      </w:r>
      <w:r w:rsidRPr="009C1FE4" w:rsidR="002E494B">
        <w:rPr>
          <w:sz w:val="27"/>
          <w:szCs w:val="27"/>
        </w:rPr>
        <w:t xml:space="preserve">: </w:t>
      </w:r>
      <w:r w:rsidRPr="009C1FE4" w:rsidR="00D154D8">
        <w:rPr>
          <w:sz w:val="27"/>
          <w:szCs w:val="27"/>
        </w:rPr>
        <w:t>Implementation of Aged Care Royal Commission recommendations</w:t>
      </w:r>
    </w:p>
    <w:p w:rsidRPr="00D154D8" w:rsidR="00D154D8" w:rsidP="00FC1383" w:rsidRDefault="00D154D8" w14:paraId="46BF0682" w14:textId="47A1D667">
      <w:pPr>
        <w:spacing w:before="0"/>
        <w:ind w:left="284"/>
      </w:pPr>
      <w:r w:rsidRPr="00D154D8">
        <w:t>Section 28 of the IGAC Act requires the Inspector-General to conduct a review to evaluate the implementation by the Commonwealth of the recommendations of the Aged Care Royal Commission, with a reporting date of 1 November 2027 (</w:t>
      </w:r>
      <w:r w:rsidR="00884EC3">
        <w:t>as set out in</w:t>
      </w:r>
      <w:r w:rsidRPr="00D154D8">
        <w:t xml:space="preserve"> the </w:t>
      </w:r>
      <w:r w:rsidRPr="006A0856">
        <w:rPr>
          <w:i/>
          <w:iCs/>
        </w:rPr>
        <w:t xml:space="preserve">Aged Care and Other Legislation Amendment </w:t>
      </w:r>
      <w:r w:rsidRPr="006A0856" w:rsidR="002823DE">
        <w:rPr>
          <w:i/>
          <w:iCs/>
        </w:rPr>
        <w:t xml:space="preserve">Act </w:t>
      </w:r>
      <w:r w:rsidRPr="006A0856">
        <w:rPr>
          <w:i/>
          <w:iCs/>
        </w:rPr>
        <w:t>2025</w:t>
      </w:r>
      <w:r w:rsidRPr="00D154D8">
        <w:t>).</w:t>
      </w:r>
    </w:p>
    <w:p w:rsidRPr="00D154D8" w:rsidR="00D154D8" w:rsidP="00FC1383" w:rsidRDefault="00D154D8" w14:paraId="296995F3" w14:textId="77777777">
      <w:pPr>
        <w:ind w:left="284"/>
      </w:pPr>
      <w:r w:rsidRPr="00D154D8">
        <w:t>During 2026-27, we will commence work toward delivering a report on the Review of the Implementation of Aged Care Royal Commission recommendations.</w:t>
      </w:r>
    </w:p>
    <w:p w:rsidRPr="00D154D8" w:rsidR="00D154D8" w:rsidP="002E494B" w:rsidRDefault="003E12AE" w14:paraId="52AA5442" w14:textId="1A77A0A6">
      <w:pPr>
        <w:pStyle w:val="Heading3"/>
        <w:spacing w:before="120" w:after="40"/>
      </w:pPr>
      <w:r>
        <w:t>2</w:t>
      </w:r>
      <w:r w:rsidR="009C1FE4">
        <w:t>.</w:t>
      </w:r>
      <w:r>
        <w:t xml:space="preserve"> </w:t>
      </w:r>
      <w:r w:rsidRPr="00D154D8" w:rsidR="00D154D8">
        <w:t>Measuring a human</w:t>
      </w:r>
      <w:r w:rsidR="0077256C">
        <w:t>-</w:t>
      </w:r>
      <w:r w:rsidRPr="00D154D8" w:rsidR="00D154D8">
        <w:t>right</w:t>
      </w:r>
      <w:r w:rsidR="00227CDC">
        <w:t>s</w:t>
      </w:r>
      <w:r w:rsidRPr="00D154D8" w:rsidR="00D154D8">
        <w:t xml:space="preserve"> focused, person-centred complaints system </w:t>
      </w:r>
    </w:p>
    <w:p w:rsidRPr="00D154D8" w:rsidR="00D154D8" w:rsidP="00FC1383" w:rsidRDefault="00E361A3" w14:paraId="6B6F3EAB" w14:textId="126CDE8B">
      <w:pPr>
        <w:spacing w:before="0"/>
        <w:ind w:left="284"/>
      </w:pPr>
      <w:r>
        <w:t>W</w:t>
      </w:r>
      <w:r w:rsidR="000D5DA1">
        <w:t>e</w:t>
      </w:r>
      <w:r w:rsidRPr="00D154D8" w:rsidR="00D154D8">
        <w:t xml:space="preserve"> aim to establish an in-depth understanding of the current processes and policies underpinning all aged care complaints frameworks. This will build the foundation of consistent oversight. </w:t>
      </w:r>
    </w:p>
    <w:p w:rsidRPr="00D154D8" w:rsidR="00D154D8" w:rsidP="00FC1383" w:rsidRDefault="00D154D8" w14:paraId="25C40608" w14:textId="4DD11A91">
      <w:pPr>
        <w:ind w:left="284"/>
      </w:pPr>
      <w:r w:rsidRPr="00D154D8">
        <w:t>This work will begin with identifying the key indicators of a best practice complaints framework and explor</w:t>
      </w:r>
      <w:r w:rsidR="00B124A9">
        <w:t>ing</w:t>
      </w:r>
      <w:r w:rsidRPr="00D154D8">
        <w:t xml:space="preserve"> what a rights-based system could mean for consumers.</w:t>
      </w:r>
    </w:p>
    <w:p w:rsidRPr="00D154D8" w:rsidR="00D154D8" w:rsidP="002E494B" w:rsidRDefault="003E12AE" w14:paraId="5B82A42A" w14:textId="06EEB777">
      <w:pPr>
        <w:pStyle w:val="Heading3"/>
        <w:spacing w:before="120" w:after="40"/>
      </w:pPr>
      <w:r>
        <w:t>3</w:t>
      </w:r>
      <w:r w:rsidR="009C1FE4">
        <w:t>.</w:t>
      </w:r>
      <w:r>
        <w:t xml:space="preserve"> </w:t>
      </w:r>
      <w:r w:rsidRPr="00D154D8" w:rsidR="00D154D8">
        <w:t>Restrictive practices</w:t>
      </w:r>
    </w:p>
    <w:p w:rsidRPr="00D154D8" w:rsidR="00D154D8" w:rsidP="00FC1383" w:rsidRDefault="00E361A3" w14:paraId="3DE0CBFB" w14:textId="1A5F4AD0">
      <w:pPr>
        <w:spacing w:before="0"/>
        <w:ind w:left="284"/>
      </w:pPr>
      <w:r>
        <w:t>W</w:t>
      </w:r>
      <w:r w:rsidRPr="00D154D8" w:rsidR="00D154D8">
        <w:t>e will undertake a consultative process</w:t>
      </w:r>
      <w:r w:rsidR="00736C61">
        <w:t xml:space="preserve"> that will</w:t>
      </w:r>
      <w:r w:rsidRPr="00D154D8" w:rsidR="00D154D8">
        <w:t xml:space="preserve"> examin</w:t>
      </w:r>
      <w:r w:rsidR="00736C61">
        <w:t>e</w:t>
      </w:r>
      <w:r w:rsidRPr="00D154D8" w:rsidR="00D154D8">
        <w:t xml:space="preserve"> </w:t>
      </w:r>
      <w:r w:rsidR="00C62A70">
        <w:t>how current</w:t>
      </w:r>
      <w:r w:rsidRPr="00D154D8" w:rsidR="00D154D8">
        <w:t xml:space="preserve"> </w:t>
      </w:r>
      <w:r w:rsidR="008A06A9">
        <w:t>usage, re</w:t>
      </w:r>
      <w:r w:rsidR="005F1E55">
        <w:t>gulation</w:t>
      </w:r>
      <w:r w:rsidR="00867E3A">
        <w:t xml:space="preserve"> and atti</w:t>
      </w:r>
      <w:r w:rsidR="00C62A70">
        <w:t xml:space="preserve">tudes towards </w:t>
      </w:r>
      <w:r w:rsidR="00507F99">
        <w:t xml:space="preserve">restrictive practices in aged care can evolve to achieve their reduction and ultimate elimination. </w:t>
      </w:r>
      <w:r w:rsidRPr="00D154D8" w:rsidR="00D154D8">
        <w:t>The findings from this process will inform our future areas of focus in relation to restrictive practices. </w:t>
      </w:r>
    </w:p>
    <w:p w:rsidRPr="00D154D8" w:rsidR="00D154D8" w:rsidP="002E494B" w:rsidRDefault="003E12AE" w14:paraId="73FE2529" w14:textId="37E366CD">
      <w:pPr>
        <w:pStyle w:val="Heading3"/>
        <w:spacing w:before="120" w:after="40"/>
      </w:pPr>
      <w:r>
        <w:t>4</w:t>
      </w:r>
      <w:r w:rsidR="009C1FE4">
        <w:t>.</w:t>
      </w:r>
      <w:r>
        <w:t xml:space="preserve"> </w:t>
      </w:r>
      <w:r w:rsidRPr="00D154D8" w:rsidR="00D154D8">
        <w:t>Preventive approach to aged care</w:t>
      </w:r>
    </w:p>
    <w:p w:rsidR="00D154D8" w:rsidP="00FC1383" w:rsidRDefault="003E12AE" w14:paraId="77E492F2" w14:textId="4C89AFC7">
      <w:pPr>
        <w:spacing w:before="0"/>
        <w:ind w:left="284"/>
      </w:pPr>
      <w:r>
        <w:t>W</w:t>
      </w:r>
      <w:r w:rsidRPr="00D154D8" w:rsidR="00D154D8">
        <w:t xml:space="preserve">e will continue to examine </w:t>
      </w:r>
      <w:r w:rsidR="00B21C7C">
        <w:t>whether</w:t>
      </w:r>
      <w:r w:rsidRPr="00D154D8" w:rsidR="00D154D8">
        <w:t xml:space="preserve"> greater investment in early</w:t>
      </w:r>
      <w:r w:rsidRPr="00D154D8" w:rsidR="00D154D8">
        <w:noBreakHyphen/>
      </w:r>
      <w:r w:rsidRPr="00D154D8" w:rsidR="00D154D8">
        <w:t xml:space="preserve">intervention </w:t>
      </w:r>
      <w:r w:rsidR="006507B0">
        <w:t xml:space="preserve">and preventive </w:t>
      </w:r>
      <w:r w:rsidRPr="00D154D8" w:rsidR="00D154D8">
        <w:t xml:space="preserve">aged care supports can reduce downstream demand for higher cost, </w:t>
      </w:r>
      <w:r w:rsidR="00247377">
        <w:t xml:space="preserve">more intensive </w:t>
      </w:r>
      <w:r w:rsidRPr="00D154D8" w:rsidR="00D154D8">
        <w:t xml:space="preserve">aged care services, while improving outcomes for older </w:t>
      </w:r>
      <w:r w:rsidR="00465BA1">
        <w:t xml:space="preserve">people in </w:t>
      </w:r>
      <w:r w:rsidRPr="00D154D8" w:rsidR="00D154D8">
        <w:t>Australia. Evidence suggests that delaying residential aged care entry, even modestly, can generate substantial system</w:t>
      </w:r>
      <w:r w:rsidRPr="00D154D8" w:rsidR="00D154D8">
        <w:noBreakHyphen/>
      </w:r>
      <w:r w:rsidRPr="00D154D8" w:rsidR="00D154D8">
        <w:t xml:space="preserve">wide savings. The project will apply </w:t>
      </w:r>
      <w:r w:rsidR="00B02B27">
        <w:t xml:space="preserve">theoretical </w:t>
      </w:r>
      <w:r w:rsidRPr="00D154D8" w:rsidR="00D154D8">
        <w:t>economic evaluation methodologies to assess the effectiveness, efficiency and value for money of current aged care policy settings in supporting ageing at home.</w:t>
      </w:r>
    </w:p>
    <w:p w:rsidRPr="00D154D8" w:rsidR="00440D41" w:rsidP="002E494B" w:rsidRDefault="00440D41" w14:paraId="6CA94B37" w14:textId="4FC82ADB">
      <w:pPr>
        <w:pStyle w:val="Heading3"/>
        <w:spacing w:before="120" w:after="40"/>
      </w:pPr>
      <w:r>
        <w:t>5</w:t>
      </w:r>
      <w:r w:rsidR="009C1FE4">
        <w:t>.</w:t>
      </w:r>
      <w:r>
        <w:t xml:space="preserve"> </w:t>
      </w:r>
      <w:r w:rsidR="00A864EC">
        <w:t xml:space="preserve">Co-design </w:t>
      </w:r>
      <w:r w:rsidR="00480AB9">
        <w:t>o</w:t>
      </w:r>
      <w:r w:rsidR="001E0597">
        <w:t>f</w:t>
      </w:r>
      <w:r w:rsidR="00480AB9">
        <w:t xml:space="preserve"> </w:t>
      </w:r>
      <w:r w:rsidR="00A864EC">
        <w:t xml:space="preserve">Aboriginal and Torres Strait </w:t>
      </w:r>
      <w:r w:rsidR="00480AB9">
        <w:t>Islander aged care</w:t>
      </w:r>
    </w:p>
    <w:p w:rsidRPr="00D154D8" w:rsidR="00440D41" w:rsidP="009C1FE4" w:rsidRDefault="00CB3D75" w14:paraId="5789E034" w14:textId="61274831">
      <w:pPr>
        <w:spacing w:before="0"/>
        <w:ind w:left="284"/>
      </w:pPr>
      <w:r>
        <w:t>I</w:t>
      </w:r>
      <w:r w:rsidR="00480AB9">
        <w:t xml:space="preserve">n partnership </w:t>
      </w:r>
      <w:r w:rsidR="002D44F8">
        <w:t xml:space="preserve">and collaboration </w:t>
      </w:r>
      <w:r w:rsidR="00480AB9">
        <w:t xml:space="preserve">with </w:t>
      </w:r>
      <w:r w:rsidR="000C5897">
        <w:t>Aboriginal and Torres Strait Islander organisations</w:t>
      </w:r>
      <w:r w:rsidR="002D44F8">
        <w:t>,</w:t>
      </w:r>
      <w:r w:rsidR="000C5897">
        <w:t xml:space="preserve"> </w:t>
      </w:r>
      <w:r>
        <w:t xml:space="preserve">we will further our work </w:t>
      </w:r>
      <w:r w:rsidR="000C5897">
        <w:t xml:space="preserve">on the development </w:t>
      </w:r>
      <w:r w:rsidR="000530EC">
        <w:t xml:space="preserve">of </w:t>
      </w:r>
      <w:r w:rsidR="00891383">
        <w:t>best</w:t>
      </w:r>
      <w:r w:rsidR="00EC53AE">
        <w:t xml:space="preserve">-practice guidance for </w:t>
      </w:r>
      <w:r w:rsidR="00891383">
        <w:t>co-design</w:t>
      </w:r>
      <w:r w:rsidR="00EC53AE">
        <w:t>ing</w:t>
      </w:r>
      <w:r w:rsidR="000C5897">
        <w:t xml:space="preserve"> </w:t>
      </w:r>
      <w:r w:rsidR="000530EC">
        <w:t xml:space="preserve">Aboriginal and Torres Strait Islander </w:t>
      </w:r>
      <w:r w:rsidR="000C5897">
        <w:t>a</w:t>
      </w:r>
      <w:r w:rsidR="000530EC">
        <w:t>ged care</w:t>
      </w:r>
      <w:r w:rsidR="00651CE3">
        <w:t xml:space="preserve"> by government</w:t>
      </w:r>
      <w:r w:rsidR="000530EC">
        <w:t>.</w:t>
      </w:r>
      <w:r w:rsidR="000C5897">
        <w:t xml:space="preserve"> </w:t>
      </w:r>
    </w:p>
    <w:p w:rsidRPr="0060187C" w:rsidR="00B3265D" w:rsidP="00B3265D" w:rsidRDefault="00B3265D" w14:paraId="798101CC" w14:textId="77777777">
      <w:pPr>
        <w:pStyle w:val="Heading1"/>
      </w:pPr>
      <w:bookmarkStart w:name="_Toc222308729" w:id="20"/>
      <w:bookmarkStart w:name="_Toc233626464" w:id="21"/>
      <w:r w:rsidRPr="0060187C">
        <w:t>Operating context</w:t>
      </w:r>
      <w:bookmarkEnd w:id="20"/>
      <w:bookmarkEnd w:id="21"/>
    </w:p>
    <w:p w:rsidRPr="0060187C" w:rsidR="00B3265D" w:rsidP="00F16FBD" w:rsidRDefault="00B3265D" w14:paraId="652ED9BB" w14:textId="78EB496E">
      <w:pPr>
        <w:pStyle w:val="Heading2"/>
      </w:pPr>
      <w:bookmarkStart w:name="_Toc222308730" w:id="22"/>
      <w:bookmarkStart w:name="_Toc233626465" w:id="23"/>
      <w:r w:rsidRPr="0060187C">
        <w:t>Environment</w:t>
      </w:r>
      <w:bookmarkEnd w:id="22"/>
      <w:bookmarkEnd w:id="23"/>
    </w:p>
    <w:p w:rsidRPr="004D3653" w:rsidR="004D3653" w:rsidP="004D3653" w:rsidRDefault="004D3653" w14:paraId="502CC40C" w14:textId="204C7670">
      <w:r w:rsidRPr="004D3653">
        <w:t>The Office will operate in an increasingly complex and constrained environment in 2026–27. Globally, economic and political disruption are expected to place sustained pressure on government finances, contributing to a tightening of Commonwealth expenditure. Within this context, the Australian Government will be required to deliver significant structural reforms across several service systems, including aged care.</w:t>
      </w:r>
    </w:p>
    <w:p w:rsidR="008D31CF" w:rsidP="008D31CF" w:rsidRDefault="004D3653" w14:paraId="3D436175" w14:textId="27DBE6C5">
      <w:r w:rsidRPr="004D3653">
        <w:t xml:space="preserve">The continued oversight, monitoring and reporting of the implementation and embedding of the </w:t>
      </w:r>
      <w:r w:rsidRPr="00187B78">
        <w:rPr>
          <w:i/>
          <w:iCs/>
        </w:rPr>
        <w:t>Aged Care Act</w:t>
      </w:r>
      <w:r w:rsidRPr="004D3653">
        <w:t xml:space="preserve"> </w:t>
      </w:r>
      <w:r w:rsidR="00890422">
        <w:rPr>
          <w:i/>
          <w:iCs/>
        </w:rPr>
        <w:t xml:space="preserve">2024 </w:t>
      </w:r>
      <w:r w:rsidRPr="004D3653">
        <w:t xml:space="preserve">will remain a central feature of the Office’s operating environment. </w:t>
      </w:r>
      <w:r w:rsidR="008D31CF">
        <w:t>As the new legislative framework moves from establishment to full operation, responsible Commonwealth agencies and providers are navigating significant implementation challenges, including systems transformation (particularly ICT), workforce capability, regulatory alignment and funding constraints. These challenges are real, but they do not lessen the obligation to deliver on the intent of reform. In practice, they heighten the need for disciplined, outcomes</w:t>
      </w:r>
      <w:r w:rsidR="008D31CF">
        <w:rPr>
          <w:rFonts w:ascii="Cambria Math" w:hAnsi="Cambria Math" w:cs="Cambria Math"/>
        </w:rPr>
        <w:t>‑</w:t>
      </w:r>
      <w:r w:rsidR="008D31CF">
        <w:t xml:space="preserve">focused implementation that prioritises the experience of older people over </w:t>
      </w:r>
      <w:proofErr w:type="gramStart"/>
      <w:r w:rsidR="008D31CF">
        <w:t>process, and</w:t>
      </w:r>
      <w:proofErr w:type="gramEnd"/>
      <w:r w:rsidR="008D31CF">
        <w:t xml:space="preserve"> avoids the risk of over</w:t>
      </w:r>
      <w:r w:rsidR="008D31CF">
        <w:rPr>
          <w:rFonts w:ascii="Cambria Math" w:hAnsi="Cambria Math" w:cs="Cambria Math"/>
        </w:rPr>
        <w:t>‑</w:t>
      </w:r>
      <w:r w:rsidR="008D31CF">
        <w:t>bureaucratising a system that is fundamentally</w:t>
      </w:r>
      <w:r w:rsidR="008D1E4A">
        <w:t xml:space="preserve"> meant to be</w:t>
      </w:r>
      <w:r w:rsidR="008D31CF">
        <w:t xml:space="preserve"> about care, relationships and human connection.</w:t>
      </w:r>
    </w:p>
    <w:p w:rsidRPr="004D3653" w:rsidR="004D3653" w:rsidP="008D31CF" w:rsidRDefault="008D31CF" w14:paraId="5AB627BD" w14:textId="1F63596E">
      <w:r>
        <w:t>At the same time, Australia’s ageing population will drive increasing demand across home, community and residential aged care in a financially constrained environment. This makes the effective use of public resources more important</w:t>
      </w:r>
      <w:r w:rsidR="00A33D7F">
        <w:t xml:space="preserve"> </w:t>
      </w:r>
      <w:r w:rsidR="00756412">
        <w:t xml:space="preserve">– </w:t>
      </w:r>
      <w:r>
        <w:t>not less. There is a growing imperative for policy and funding settings to support earlier intervention, stronger support for ageing at home, and a more deliberate focus on what works to improve outcomes for older people. Without this shift, pressures on affordability, access and system sustainability will intensify, and the risk of systemic failure at the intersection of funding, administration and regulation will grow. In this context, the Office’s role is not only to observe these dynamics, but to scrutinise whether government decisions are directing effort and investment to where they will have the greatest impact.</w:t>
      </w:r>
    </w:p>
    <w:p w:rsidRPr="004D3653" w:rsidR="004D3653" w:rsidP="004D3653" w:rsidRDefault="004D3653" w14:paraId="191F587A" w14:textId="77777777">
      <w:r w:rsidRPr="004D3653">
        <w:t>Against this backdrop, the role of independent, system</w:t>
      </w:r>
      <w:r w:rsidRPr="004D3653">
        <w:noBreakHyphen/>
      </w:r>
      <w:r w:rsidRPr="004D3653">
        <w:t>level oversight will be increasingly important. The Office will operate in an environment characterised by competing priorities, increased expectations of transparency and accountability, and the need to assess whether reforms are being implemented in a manner that delivers their intended outcomes for older people, while remaining economically sustainable over the medium to long term.</w:t>
      </w:r>
    </w:p>
    <w:p w:rsidRPr="0060187C" w:rsidR="00B3265D" w:rsidP="007E642A" w:rsidRDefault="00B3265D" w14:paraId="3E48E505" w14:textId="4D471CD4">
      <w:pPr>
        <w:pStyle w:val="Heading2"/>
      </w:pPr>
      <w:bookmarkStart w:name="_Toc222308731" w:id="24"/>
      <w:bookmarkStart w:name="_Toc233626466" w:id="25"/>
      <w:r w:rsidRPr="0060187C">
        <w:t>Capability</w:t>
      </w:r>
      <w:bookmarkEnd w:id="24"/>
      <w:bookmarkEnd w:id="25"/>
    </w:p>
    <w:p w:rsidRPr="00705B51" w:rsidR="00B3265D" w:rsidP="00B3265D" w:rsidRDefault="00EC0BAC" w14:paraId="27620579" w14:textId="7BDDCEA5">
      <w:r w:rsidRPr="00705B51">
        <w:t xml:space="preserve">As a small agency with a broad mandate, our resources </w:t>
      </w:r>
      <w:r w:rsidR="00495A82">
        <w:t xml:space="preserve">focus </w:t>
      </w:r>
      <w:r w:rsidRPr="00705B51">
        <w:t xml:space="preserve">on priorities that best support our purpose. We build workforce capability by developing our people’s skills, helping them achieve organisational goals </w:t>
      </w:r>
      <w:r w:rsidR="00BC172A">
        <w:t>as well as</w:t>
      </w:r>
      <w:r w:rsidRPr="00705B51" w:rsidR="00BC172A">
        <w:t xml:space="preserve"> </w:t>
      </w:r>
      <w:r w:rsidRPr="00705B51">
        <w:t>their own professional aspirations.</w:t>
      </w:r>
    </w:p>
    <w:p w:rsidRPr="00814AA2" w:rsidR="00EC0BAC" w:rsidP="00EC0BAC" w:rsidRDefault="00EC0BAC" w14:paraId="62F707AE" w14:textId="65F8E529">
      <w:r w:rsidRPr="00705B51">
        <w:t>We invest in systems, technology and data infrastructure</w:t>
      </w:r>
      <w:r w:rsidRPr="00705B51" w:rsidR="0274ECED">
        <w:t xml:space="preserve"> that </w:t>
      </w:r>
      <w:r w:rsidR="00BC172A">
        <w:t>are</w:t>
      </w:r>
      <w:r w:rsidRPr="00705B51" w:rsidR="0274ECED">
        <w:t xml:space="preserve"> fit-for</w:t>
      </w:r>
      <w:r w:rsidR="00BC172A">
        <w:t>-</w:t>
      </w:r>
      <w:r w:rsidRPr="00814AA2" w:rsidR="0274ECED">
        <w:t>purpose, to</w:t>
      </w:r>
      <w:r w:rsidRPr="00814AA2">
        <w:t xml:space="preserve"> support the efficient and high-quality delivery of our work. Our structure and governance arrangements ensure clear accountability and effective decision</w:t>
      </w:r>
      <w:r w:rsidR="00BC172A">
        <w:t>-</w:t>
      </w:r>
      <w:r w:rsidRPr="00814AA2">
        <w:t>making.</w:t>
      </w:r>
    </w:p>
    <w:p w:rsidRPr="00705B51" w:rsidR="00EC0BAC" w:rsidP="00EC0BAC" w:rsidRDefault="04D7D34E" w14:paraId="385D43A1" w14:textId="2781EC8F">
      <w:r w:rsidRPr="00814AA2">
        <w:t>W</w:t>
      </w:r>
      <w:r w:rsidRPr="00814AA2" w:rsidR="00EC0BAC">
        <w:t>e prioritise knowledge sharing</w:t>
      </w:r>
      <w:r w:rsidRPr="00814AA2" w:rsidR="75CED1CE">
        <w:t>, transparency</w:t>
      </w:r>
      <w:r w:rsidRPr="00814AA2" w:rsidR="00EC0BAC">
        <w:t xml:space="preserve"> and skill development</w:t>
      </w:r>
      <w:r w:rsidRPr="00705B51" w:rsidR="00EC0BAC">
        <w:t xml:space="preserve">, with a </w:t>
      </w:r>
      <w:r w:rsidRPr="00705B51" w:rsidR="71CC3B45">
        <w:t xml:space="preserve">continued </w:t>
      </w:r>
      <w:r w:rsidRPr="00705B51" w:rsidR="00EC0BAC">
        <w:t>emphasis on our procurement, contract management and human resource policies. Wherever possible</w:t>
      </w:r>
      <w:r w:rsidR="007C36C0">
        <w:t>,</w:t>
      </w:r>
      <w:r w:rsidRPr="00705B51" w:rsidR="00EC0BAC">
        <w:t xml:space="preserve"> essential work is carried out by </w:t>
      </w:r>
      <w:r w:rsidRPr="00E46567" w:rsidR="004E74EA">
        <w:t xml:space="preserve">Australian Public Service (APS) </w:t>
      </w:r>
      <w:proofErr w:type="gramStart"/>
      <w:r w:rsidRPr="00705B51" w:rsidR="00EC0BAC">
        <w:t>employees</w:t>
      </w:r>
      <w:proofErr w:type="gramEnd"/>
      <w:r w:rsidRPr="00705B51" w:rsidR="665278DF">
        <w:t xml:space="preserve"> and </w:t>
      </w:r>
      <w:r w:rsidR="008949C0">
        <w:t xml:space="preserve">we </w:t>
      </w:r>
      <w:r w:rsidRPr="00705B51" w:rsidR="665278DF">
        <w:t xml:space="preserve">have significantly decreased </w:t>
      </w:r>
      <w:r w:rsidR="008949C0">
        <w:t>our</w:t>
      </w:r>
      <w:r w:rsidRPr="00705B51" w:rsidR="665278DF">
        <w:t xml:space="preserve"> reliance on external consultants and </w:t>
      </w:r>
      <w:r w:rsidRPr="00705B51" w:rsidR="665278DF">
        <w:t>contractors</w:t>
      </w:r>
      <w:r w:rsidRPr="00705B51" w:rsidR="00EC0BAC">
        <w:t>. We foster a diverse, inclusive and resilient workforce</w:t>
      </w:r>
      <w:r w:rsidRPr="00705B51" w:rsidR="6707A984">
        <w:t xml:space="preserve"> </w:t>
      </w:r>
      <w:r w:rsidR="00705B51">
        <w:t>that is</w:t>
      </w:r>
      <w:r w:rsidRPr="00705B51" w:rsidR="6707A984">
        <w:t xml:space="preserve"> committed to our purpose, </w:t>
      </w:r>
      <w:r w:rsidRPr="00705B51" w:rsidR="00EC0BAC">
        <w:t>with a strong ethical foundation, and we support flexible work practices that encourage innovation, collaboration and adaptability.</w:t>
      </w:r>
    </w:p>
    <w:p w:rsidRPr="0060187C" w:rsidR="00106D78" w:rsidP="00106D78" w:rsidRDefault="00106D78" w14:paraId="223D6E4E" w14:textId="77777777">
      <w:pPr>
        <w:pStyle w:val="Heading2"/>
      </w:pPr>
      <w:bookmarkStart w:name="_Toc233626467" w:id="26"/>
      <w:bookmarkStart w:name="_Toc222308732" w:id="27"/>
      <w:r>
        <w:t>Leadership</w:t>
      </w:r>
      <w:bookmarkEnd w:id="26"/>
    </w:p>
    <w:p w:rsidR="00D851F2" w:rsidP="008B24FB" w:rsidRDefault="0042038B" w14:paraId="131A0FAE" w14:textId="77777777">
      <w:pPr>
        <w:rPr>
          <w:bCs/>
        </w:rPr>
      </w:pPr>
      <w:r>
        <w:t>The</w:t>
      </w:r>
      <w:r w:rsidR="00BF12AB">
        <w:t xml:space="preserve"> </w:t>
      </w:r>
      <w:r>
        <w:t>announcement</w:t>
      </w:r>
      <w:r w:rsidR="00BF12AB">
        <w:t xml:space="preserve"> of former Inspector-General of Aged Care</w:t>
      </w:r>
      <w:r w:rsidR="00985516">
        <w:t>, Natalie Siegel-Brown</w:t>
      </w:r>
      <w:r>
        <w:t>’s resignation</w:t>
      </w:r>
      <w:r w:rsidR="0044009C">
        <w:t xml:space="preserve"> was </w:t>
      </w:r>
      <w:r>
        <w:t>unexpected across the sector, and provoked</w:t>
      </w:r>
      <w:r w:rsidR="00A2374F">
        <w:t xml:space="preserve"> </w:t>
      </w:r>
      <w:r w:rsidR="004522A7">
        <w:t>a great deal of</w:t>
      </w:r>
      <w:r w:rsidR="00A2374F">
        <w:t xml:space="preserve"> concern and uncertainty regarding the future </w:t>
      </w:r>
      <w:r w:rsidR="004522A7">
        <w:t xml:space="preserve">of the Office and the priorities of her successor. </w:t>
      </w:r>
    </w:p>
    <w:p w:rsidR="00A01D70" w:rsidP="008B24FB" w:rsidRDefault="004522A7" w14:paraId="3E50A6C5" w14:textId="41D5986B">
      <w:pPr>
        <w:rPr>
          <w:bCs/>
        </w:rPr>
      </w:pPr>
      <w:r>
        <w:t xml:space="preserve">Consequently, </w:t>
      </w:r>
      <w:r w:rsidR="002B5327">
        <w:t xml:space="preserve">any interim arrangements are likely to </w:t>
      </w:r>
      <w:r w:rsidR="00033B8F">
        <w:t>bring</w:t>
      </w:r>
      <w:r w:rsidR="008B2035">
        <w:t xml:space="preserve"> </w:t>
      </w:r>
      <w:r w:rsidR="006A1C12">
        <w:t xml:space="preserve">challenges </w:t>
      </w:r>
      <w:r w:rsidR="005F02E7">
        <w:t>as well as many</w:t>
      </w:r>
      <w:r w:rsidR="006A1C12">
        <w:t xml:space="preserve"> </w:t>
      </w:r>
      <w:r w:rsidR="00033B8F">
        <w:t xml:space="preserve">new </w:t>
      </w:r>
      <w:r w:rsidR="006A1C12">
        <w:t xml:space="preserve">opportunities for the Office. </w:t>
      </w:r>
      <w:r w:rsidR="00E92DAB">
        <w:t>We are mindful of the</w:t>
      </w:r>
      <w:r w:rsidR="006A1C12">
        <w:t xml:space="preserve"> </w:t>
      </w:r>
      <w:r w:rsidR="00E107F8">
        <w:t xml:space="preserve">need to </w:t>
      </w:r>
      <w:r w:rsidR="00D851F2">
        <w:t xml:space="preserve">clearly and unambiguously </w:t>
      </w:r>
      <w:r w:rsidR="00973C45">
        <w:t>demonstrate to stakeh</w:t>
      </w:r>
      <w:r w:rsidR="0030204D">
        <w:t xml:space="preserve">olders that this </w:t>
      </w:r>
      <w:r w:rsidR="00E107F8">
        <w:t xml:space="preserve">change in leadership </w:t>
      </w:r>
      <w:r w:rsidR="008E4FF0">
        <w:t xml:space="preserve">does not alter our </w:t>
      </w:r>
      <w:r w:rsidR="0030204D">
        <w:t xml:space="preserve">remit, nor our </w:t>
      </w:r>
      <w:r w:rsidR="005F02E7">
        <w:t xml:space="preserve">commitment to </w:t>
      </w:r>
      <w:r w:rsidR="008E4FF0">
        <w:t xml:space="preserve">engaging with them </w:t>
      </w:r>
      <w:r w:rsidR="00730FF7">
        <w:t xml:space="preserve">in the </w:t>
      </w:r>
      <w:r w:rsidR="00FF4109">
        <w:t>undertaking</w:t>
      </w:r>
      <w:r w:rsidR="00730FF7">
        <w:t xml:space="preserve"> of our responsibilities and the delivery of our </w:t>
      </w:r>
      <w:r w:rsidR="00266018">
        <w:t xml:space="preserve">key </w:t>
      </w:r>
      <w:r w:rsidR="00251B77">
        <w:t>priorities</w:t>
      </w:r>
      <w:r w:rsidR="00536540">
        <w:t xml:space="preserve">. </w:t>
      </w:r>
    </w:p>
    <w:p w:rsidRPr="0060187C" w:rsidR="00B3265D" w:rsidP="00F16FBD" w:rsidRDefault="00B3265D" w14:paraId="7678C440" w14:textId="7AFFB1B0">
      <w:pPr>
        <w:pStyle w:val="Heading2"/>
      </w:pPr>
      <w:bookmarkStart w:name="_Toc233626468" w:id="28"/>
      <w:r w:rsidRPr="0060187C">
        <w:t>Workforce</w:t>
      </w:r>
      <w:bookmarkEnd w:id="27"/>
      <w:bookmarkEnd w:id="28"/>
    </w:p>
    <w:p w:rsidRPr="00E46567" w:rsidR="00EC0BAC" w:rsidP="00EC0BAC" w:rsidRDefault="008949C0" w14:paraId="06C16792" w14:textId="1E3A19CB">
      <w:r>
        <w:t>The Office is</w:t>
      </w:r>
      <w:r w:rsidRPr="00E46567" w:rsidR="00EC0BAC">
        <w:t xml:space="preserve"> funded for 21 full-time equivalent (FTE) roles, in addition to the Inspector-General.</w:t>
      </w:r>
    </w:p>
    <w:p w:rsidRPr="00E46567" w:rsidR="00EC0BAC" w:rsidP="00EC0BAC" w:rsidRDefault="00EC0BAC" w14:paraId="44AF0955" w14:textId="2C893EEE">
      <w:r w:rsidRPr="00E46567">
        <w:t xml:space="preserve">Our workforce is employed under the </w:t>
      </w:r>
      <w:r w:rsidRPr="00E46567">
        <w:rPr>
          <w:i/>
          <w:iCs/>
        </w:rPr>
        <w:t>Public Service Act 1999</w:t>
      </w:r>
      <w:r w:rsidRPr="00E46567">
        <w:t>, which provides the legislative framework for</w:t>
      </w:r>
      <w:r w:rsidR="00683071">
        <w:t xml:space="preserve"> </w:t>
      </w:r>
      <w:r w:rsidRPr="00E46567">
        <w:t xml:space="preserve">APS employment. This framework supports a flexible and principles-based approach to workforce management. Terms and conditions of employment are set out in our </w:t>
      </w:r>
      <w:hyperlink w:history="1" r:id="rId20">
        <w:r w:rsidRPr="00E46567">
          <w:rPr>
            <w:rStyle w:val="Hyperlink"/>
          </w:rPr>
          <w:t>Enterprise Agreement 2024–27</w:t>
        </w:r>
      </w:hyperlink>
      <w:r w:rsidRPr="00E46567">
        <w:t>.</w:t>
      </w:r>
    </w:p>
    <w:p w:rsidRPr="00E46567" w:rsidR="00EC0BAC" w:rsidP="00EC0BAC" w:rsidRDefault="00705B51" w14:paraId="1B63CF32" w14:textId="025F6B15">
      <w:r>
        <w:t>W</w:t>
      </w:r>
      <w:r w:rsidRPr="00E46567" w:rsidR="00EC0BAC">
        <w:t>e maintain a small, agile and capable workforce. Our staffing profile includes a mix of ongoing and non-ongoing APS employees. We deploy our resources flexibly to respond to changing business needs.</w:t>
      </w:r>
      <w:r w:rsidRPr="00E46567" w:rsidR="302EC7F6">
        <w:t xml:space="preserve"> </w:t>
      </w:r>
      <w:r w:rsidR="00645A74">
        <w:t>We</w:t>
      </w:r>
      <w:r w:rsidRPr="00E46567" w:rsidR="302EC7F6">
        <w:t xml:space="preserve"> identif</w:t>
      </w:r>
      <w:r w:rsidRPr="00E46567" w:rsidR="266A905F">
        <w:t>y</w:t>
      </w:r>
      <w:r w:rsidRPr="00E46567" w:rsidR="302EC7F6">
        <w:t xml:space="preserve"> skills and knowledge gaps</w:t>
      </w:r>
      <w:r w:rsidR="00645A74">
        <w:t xml:space="preserve"> which we then seek to address either by</w:t>
      </w:r>
      <w:r w:rsidRPr="00E46567" w:rsidR="302EC7F6">
        <w:t xml:space="preserve"> recruit</w:t>
      </w:r>
      <w:r w:rsidR="00645A74">
        <w:t>ing</w:t>
      </w:r>
      <w:r w:rsidRPr="00E46567" w:rsidR="302EC7F6">
        <w:t xml:space="preserve"> or develop</w:t>
      </w:r>
      <w:r w:rsidR="00C2010E">
        <w:t>ing</w:t>
      </w:r>
      <w:r w:rsidRPr="00E46567" w:rsidR="302EC7F6">
        <w:t xml:space="preserve"> </w:t>
      </w:r>
      <w:r w:rsidRPr="00E46567" w:rsidR="50923E2A">
        <w:t xml:space="preserve">the skills and knowledge of </w:t>
      </w:r>
      <w:r w:rsidRPr="00E46567" w:rsidR="302EC7F6">
        <w:t xml:space="preserve">existing staff. </w:t>
      </w:r>
    </w:p>
    <w:p w:rsidRPr="00E46567" w:rsidR="00B3265D" w:rsidP="00EC0BAC" w:rsidRDefault="00EC0BAC" w14:paraId="120DCE87" w14:textId="6B886FDF">
      <w:r w:rsidRPr="00E46567">
        <w:t xml:space="preserve">We </w:t>
      </w:r>
      <w:r w:rsidR="00E22971">
        <w:t>work hard to</w:t>
      </w:r>
      <w:r w:rsidRPr="00E46567">
        <w:t xml:space="preserve"> attract, develop and retain high-calibre staff to support our purpose and strategic objectives. </w:t>
      </w:r>
      <w:r w:rsidR="00B941CB">
        <w:t>O</w:t>
      </w:r>
      <w:r w:rsidRPr="00E46567">
        <w:t xml:space="preserve">ur workforce capability </w:t>
      </w:r>
      <w:r w:rsidR="00E22971">
        <w:t xml:space="preserve">is strengthened </w:t>
      </w:r>
      <w:r w:rsidRPr="00E46567">
        <w:t>through ongoing planning, skills development and targeted recruitment.</w:t>
      </w:r>
    </w:p>
    <w:p w:rsidR="00EC0BAC" w:rsidP="00EC0BAC" w:rsidRDefault="00EC0BAC" w14:paraId="013AB090" w14:textId="0B60365D">
      <w:r w:rsidRPr="00E46567">
        <w:t>In all our activities we uphold the APS Values and Code of Conduct. We are committed to maintaining ethical, inclusive and accountable workforce practices, ensuring they are fair and free from bias.</w:t>
      </w:r>
    </w:p>
    <w:p w:rsidRPr="00E46567" w:rsidR="00596EB1" w:rsidP="00EC0BAC" w:rsidRDefault="00596EB1" w14:paraId="2758E4C8" w14:textId="6F2D2BE0">
      <w:r>
        <w:t xml:space="preserve">The psychological safety of our workforce is paramount. </w:t>
      </w:r>
      <w:r w:rsidR="00FF0DEC">
        <w:t>The nature of our</w:t>
      </w:r>
      <w:r w:rsidR="00EE2602">
        <w:t xml:space="preserve"> role, and </w:t>
      </w:r>
      <w:r w:rsidR="0076201E">
        <w:t>the</w:t>
      </w:r>
      <w:r w:rsidR="000868AF">
        <w:t xml:space="preserve"> embedding</w:t>
      </w:r>
      <w:r w:rsidR="00EE2602">
        <w:t xml:space="preserve"> </w:t>
      </w:r>
      <w:r w:rsidR="000F66C0">
        <w:t xml:space="preserve">of </w:t>
      </w:r>
      <w:r w:rsidR="00EE2602">
        <w:t xml:space="preserve">our work in </w:t>
      </w:r>
      <w:r w:rsidR="00257E18">
        <w:t xml:space="preserve">the lived experience </w:t>
      </w:r>
      <w:r w:rsidR="00A4040E">
        <w:t xml:space="preserve">evidence </w:t>
      </w:r>
      <w:r w:rsidR="00257E18">
        <w:t xml:space="preserve">of older people </w:t>
      </w:r>
      <w:r w:rsidR="0076201E">
        <w:t xml:space="preserve">tends to </w:t>
      </w:r>
      <w:r w:rsidR="006648FB">
        <w:t>expose our team to</w:t>
      </w:r>
      <w:r w:rsidR="00A07239">
        <w:t xml:space="preserve"> </w:t>
      </w:r>
      <w:r w:rsidR="006A15DF">
        <w:t xml:space="preserve">sensitive and </w:t>
      </w:r>
      <w:r w:rsidR="00A52D3C">
        <w:t xml:space="preserve">potentially </w:t>
      </w:r>
      <w:r w:rsidR="006A15DF">
        <w:t>traumatic material</w:t>
      </w:r>
      <w:r w:rsidR="00910816">
        <w:t>, including first-person accounts of abuse and harm</w:t>
      </w:r>
      <w:r w:rsidR="006A15DF">
        <w:t>.</w:t>
      </w:r>
      <w:r w:rsidR="000F2821">
        <w:t xml:space="preserve"> </w:t>
      </w:r>
      <w:r w:rsidR="005B6331">
        <w:t xml:space="preserve">In recognition of the </w:t>
      </w:r>
      <w:r w:rsidR="00B06DBF">
        <w:t xml:space="preserve">potential </w:t>
      </w:r>
      <w:r w:rsidR="008E0AB5">
        <w:t>impacts</w:t>
      </w:r>
      <w:r w:rsidR="00B06DBF">
        <w:t xml:space="preserve"> of this, </w:t>
      </w:r>
      <w:r w:rsidR="000F2821">
        <w:t>vicarious trauma training</w:t>
      </w:r>
      <w:r w:rsidR="008E0AB5">
        <w:t xml:space="preserve"> has been provided</w:t>
      </w:r>
      <w:r w:rsidR="00B06DBF">
        <w:t xml:space="preserve"> to all staff</w:t>
      </w:r>
      <w:r w:rsidR="008E0AB5">
        <w:t xml:space="preserve">, </w:t>
      </w:r>
      <w:r w:rsidR="00DE4D17">
        <w:t>and</w:t>
      </w:r>
      <w:r w:rsidR="008E0AB5">
        <w:t xml:space="preserve"> access to one-on-one</w:t>
      </w:r>
      <w:r w:rsidR="0059208B">
        <w:t xml:space="preserve"> wellbeing services </w:t>
      </w:r>
      <w:r w:rsidR="00DE4D17">
        <w:t xml:space="preserve">provided by the MacKillop Institute. These </w:t>
      </w:r>
      <w:r w:rsidR="00500B9C">
        <w:t xml:space="preserve">services are in addition to our </w:t>
      </w:r>
      <w:r w:rsidR="009558CE">
        <w:t xml:space="preserve">free and confidential </w:t>
      </w:r>
      <w:r w:rsidR="00500B9C">
        <w:t>Employee Assistance Program (EAP)</w:t>
      </w:r>
      <w:r w:rsidR="009558CE">
        <w:t>.</w:t>
      </w:r>
      <w:r w:rsidR="00500B9C">
        <w:t xml:space="preserve"> </w:t>
      </w:r>
    </w:p>
    <w:p w:rsidRPr="0060187C" w:rsidR="00910CB4" w:rsidP="00F16FBD" w:rsidRDefault="00EC0BAC" w14:paraId="082A7270" w14:textId="4EF9D51F">
      <w:pPr>
        <w:pStyle w:val="Heading2"/>
      </w:pPr>
      <w:bookmarkStart w:name="_Toc222308733" w:id="29"/>
      <w:bookmarkStart w:name="_Toc233626469" w:id="30"/>
      <w:r w:rsidRPr="0060187C">
        <w:t>Workforce culture</w:t>
      </w:r>
      <w:bookmarkEnd w:id="29"/>
      <w:bookmarkEnd w:id="30"/>
    </w:p>
    <w:p w:rsidRPr="0060187C" w:rsidR="00B10782" w:rsidP="00B10782" w:rsidRDefault="00B10782" w14:paraId="57629236" w14:textId="23B94F0F">
      <w:r>
        <w:t xml:space="preserve">As </w:t>
      </w:r>
      <w:r w:rsidR="007D061A">
        <w:t>detailed</w:t>
      </w:r>
      <w:r>
        <w:t xml:space="preserve"> earlier, a </w:t>
      </w:r>
      <w:r w:rsidRPr="003F554C">
        <w:t xml:space="preserve">key objective </w:t>
      </w:r>
      <w:r w:rsidRPr="003F554C" w:rsidR="00FD453E">
        <w:t>within our Strategic Framework</w:t>
      </w:r>
      <w:r w:rsidR="007D061A">
        <w:t xml:space="preserve"> is to ensure </w:t>
      </w:r>
      <w:r>
        <w:t>we are a safe, welcoming, c</w:t>
      </w:r>
      <w:r w:rsidR="00FD453E">
        <w:t>apable organisation of deep integrity, that people love to work for.</w:t>
      </w:r>
    </w:p>
    <w:p w:rsidRPr="0060187C" w:rsidR="00EC0BAC" w:rsidP="00EC0BAC" w:rsidRDefault="00EC0BAC" w14:paraId="095E42EA" w14:textId="1F7F2860">
      <w:r w:rsidRPr="0060187C">
        <w:t>We are committed to fostering a safe, positive and supportive workplace culture, built on deep integrity and supported by strong corporate systems. Our way</w:t>
      </w:r>
      <w:r w:rsidR="00B941CB">
        <w:t>s</w:t>
      </w:r>
      <w:r w:rsidRPr="0060187C">
        <w:t xml:space="preserve"> of working </w:t>
      </w:r>
      <w:r w:rsidR="00B941CB">
        <w:t>are</w:t>
      </w:r>
      <w:r w:rsidRPr="0060187C" w:rsidR="00B941CB">
        <w:t xml:space="preserve"> </w:t>
      </w:r>
      <w:r w:rsidRPr="0060187C">
        <w:t xml:space="preserve">grounded in transparency, professionalism and respect. </w:t>
      </w:r>
      <w:r w:rsidRPr="0060187C" w:rsidR="0B18F237">
        <w:t xml:space="preserve">We </w:t>
      </w:r>
      <w:r w:rsidR="00410919">
        <w:t xml:space="preserve">work hard to maintain a culture where </w:t>
      </w:r>
      <w:r w:rsidRPr="0060187C" w:rsidR="0B18F237">
        <w:t>all staff feel comfortable speak</w:t>
      </w:r>
      <w:r w:rsidR="00DD32E8">
        <w:t>ing</w:t>
      </w:r>
      <w:r w:rsidRPr="0060187C" w:rsidR="0B18F237">
        <w:t xml:space="preserve"> up with ideas or concerns. </w:t>
      </w:r>
      <w:r w:rsidR="00072C9C">
        <w:t>O</w:t>
      </w:r>
      <w:r w:rsidRPr="0060187C">
        <w:t xml:space="preserve">ur purpose, </w:t>
      </w:r>
      <w:r w:rsidRPr="0060187C">
        <w:t>values and approach are clearly communicated and understood across the agency and by our stakeholders.</w:t>
      </w:r>
    </w:p>
    <w:p w:rsidRPr="0060187C" w:rsidR="00EC0BAC" w:rsidP="00EC0BAC" w:rsidRDefault="00EC0BAC" w14:paraId="41BDB32F" w14:textId="753AA5D3">
      <w:r w:rsidRPr="0060187C">
        <w:t xml:space="preserve">We value the </w:t>
      </w:r>
      <w:r w:rsidR="0067396E">
        <w:t>benefits</w:t>
      </w:r>
      <w:r w:rsidRPr="0060187C">
        <w:t xml:space="preserve"> a diverse workforce brings</w:t>
      </w:r>
      <w:r w:rsidR="00DB6F39">
        <w:t>,</w:t>
      </w:r>
      <w:r w:rsidRPr="0060187C">
        <w:t xml:space="preserve"> and strive to create an inclusive, welcoming environment where </w:t>
      </w:r>
      <w:r w:rsidRPr="0060187C" w:rsidR="00962B7A">
        <w:t xml:space="preserve">people of all backgrounds, identities and experiences </w:t>
      </w:r>
      <w:r w:rsidRPr="0060187C">
        <w:t>feel</w:t>
      </w:r>
      <w:r w:rsidR="004F1AA9">
        <w:t xml:space="preserve"> respected, </w:t>
      </w:r>
      <w:r w:rsidRPr="0060187C">
        <w:t>valued</w:t>
      </w:r>
      <w:r w:rsidR="004F1AA9">
        <w:t>,</w:t>
      </w:r>
      <w:r w:rsidRPr="0060187C">
        <w:t xml:space="preserve"> and </w:t>
      </w:r>
      <w:r w:rsidR="004F1AA9">
        <w:t>supported to thrive</w:t>
      </w:r>
      <w:r w:rsidRPr="0060187C">
        <w:t xml:space="preserve">. We embrace the variety of experiences, skills and perspectives our people bring to the workplace. </w:t>
      </w:r>
      <w:r w:rsidRPr="0060187C" w:rsidR="008C5B8C">
        <w:t xml:space="preserve">We </w:t>
      </w:r>
      <w:r w:rsidR="008C5B8C">
        <w:t>strive</w:t>
      </w:r>
      <w:r w:rsidRPr="0060187C" w:rsidR="008C5B8C">
        <w:t xml:space="preserve"> to ensure that First Nations peoples, people from culturally and linguistically diverse backgrounds, people with disability and LGBTIQ+ people are interested in working with us and are genuinely included and valued.</w:t>
      </w:r>
      <w:r w:rsidR="008C5B8C">
        <w:t xml:space="preserve"> </w:t>
      </w:r>
    </w:p>
    <w:p w:rsidR="00910CB4" w:rsidP="00EC0BAC" w:rsidRDefault="00EC0BAC" w14:paraId="24AE53E9" w14:textId="7BF025B1">
      <w:r w:rsidRPr="0060187C">
        <w:t xml:space="preserve">In line with the Australian Government’s commitment to reconciliation, we have published our </w:t>
      </w:r>
      <w:hyperlink w:history="1" r:id="rId21">
        <w:r w:rsidRPr="00EF37AE">
          <w:rPr>
            <w:rStyle w:val="Hyperlink"/>
          </w:rPr>
          <w:t>commitment to implementing priority reforms</w:t>
        </w:r>
      </w:hyperlink>
      <w:r w:rsidRPr="0060187C">
        <w:t xml:space="preserve"> under the National Agreement on Closing the Gap and we will continue to strengthen our internal capability to support these important priorities.</w:t>
      </w:r>
    </w:p>
    <w:p w:rsidRPr="0060187C" w:rsidR="00EC0BAC" w:rsidP="00EC0BAC" w:rsidRDefault="00EC0BAC" w14:paraId="1EAE014E" w14:textId="23BC0CB7">
      <w:pPr>
        <w:pStyle w:val="Heading2"/>
      </w:pPr>
      <w:bookmarkStart w:name="_Toc222308734" w:id="31"/>
      <w:bookmarkStart w:name="_Toc233626470" w:id="32"/>
      <w:r w:rsidRPr="0060187C">
        <w:t>Organisational structure</w:t>
      </w:r>
      <w:bookmarkEnd w:id="31"/>
      <w:bookmarkEnd w:id="32"/>
    </w:p>
    <w:p w:rsidR="00EC0BAC" w:rsidP="005F465B" w:rsidRDefault="00EC0BAC" w14:paraId="3A42A98C" w14:textId="4683D48D">
      <w:r w:rsidRPr="00FD453E">
        <w:t xml:space="preserve">Organisational structure on 1 </w:t>
      </w:r>
      <w:r w:rsidR="000C6F0D">
        <w:t>July</w:t>
      </w:r>
      <w:r w:rsidRPr="00FD453E">
        <w:t xml:space="preserve"> </w:t>
      </w:r>
      <w:r w:rsidRPr="00FD453E" w:rsidR="00676EAA">
        <w:t>202</w:t>
      </w:r>
      <w:r w:rsidR="00676EAA">
        <w:t>6</w:t>
      </w:r>
      <w:r w:rsidR="00EB7ABA">
        <w:t>:</w:t>
      </w:r>
    </w:p>
    <w:p w:rsidRPr="00FD453E" w:rsidR="00481E87" w:rsidP="005F465B" w:rsidRDefault="00DE13B4" w14:paraId="11BE3A68" w14:textId="48107951">
      <w:pPr>
        <w:spacing w:before="240" w:after="240"/>
      </w:pPr>
      <w:r w:rsidRPr="00DE13B4">
        <w:drawing>
          <wp:inline distT="0" distB="0" distL="0" distR="0" wp14:anchorId="3B0AE90D" wp14:editId="29CC9D3E">
            <wp:extent cx="5972810" cy="1884680"/>
            <wp:effectExtent l="0" t="0" r="8890" b="1270"/>
            <wp:docPr id="197452366" name="Picture 1" descr="The Inspector-General and Agency Executive Director are supported by the Executive Support team.&#10;&#10;Reporting to the Agency Executive Director are teams grouped by: Reviews, Reports and Royal Commission; Communication and Engagement; and Corporat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2366" name="Picture 1" descr="The Inspector-General and Agency Executive Director are supported by the Executive Support team.&#10;&#10;Reporting to the Agency Executive Director are teams grouped by: Reviews, Reports and Royal Commission; Communication and Engagement; and Corporate Services."/>
                    <pic:cNvPicPr/>
                  </pic:nvPicPr>
                  <pic:blipFill>
                    <a:blip r:embed="rId22"/>
                    <a:stretch>
                      <a:fillRect/>
                    </a:stretch>
                  </pic:blipFill>
                  <pic:spPr>
                    <a:xfrm>
                      <a:off x="0" y="0"/>
                      <a:ext cx="5972810" cy="1884680"/>
                    </a:xfrm>
                    <a:prstGeom prst="rect">
                      <a:avLst/>
                    </a:prstGeom>
                  </pic:spPr>
                </pic:pic>
              </a:graphicData>
            </a:graphic>
          </wp:inline>
        </w:drawing>
      </w:r>
    </w:p>
    <w:p w:rsidRPr="0060187C" w:rsidR="00937FDC" w:rsidP="00937FDC" w:rsidRDefault="00937FDC" w14:paraId="3569904B" w14:textId="4645D64B">
      <w:pPr>
        <w:pStyle w:val="Caption"/>
      </w:pPr>
      <w:bookmarkStart w:name="_Toc222308735" w:id="33"/>
      <w:r w:rsidRPr="0060187C">
        <w:t xml:space="preserve">Figure </w:t>
      </w:r>
      <w:r w:rsidR="0067520E">
        <w:t>3</w:t>
      </w:r>
      <w:r w:rsidRPr="0060187C">
        <w:t xml:space="preserve">: Office of the Inspector-General of Aged Care </w:t>
      </w:r>
      <w:r w:rsidR="007052E9">
        <w:t xml:space="preserve">structure </w:t>
      </w:r>
      <w:proofErr w:type="gramStart"/>
      <w:r w:rsidR="007052E9">
        <w:t>at</w:t>
      </w:r>
      <w:proofErr w:type="gramEnd"/>
      <w:r w:rsidR="007052E9">
        <w:t xml:space="preserve"> 1 </w:t>
      </w:r>
      <w:r w:rsidR="000C6F0D">
        <w:t>July</w:t>
      </w:r>
      <w:r w:rsidR="007052E9">
        <w:t xml:space="preserve"> 2026</w:t>
      </w:r>
    </w:p>
    <w:p w:rsidRPr="0060187C" w:rsidR="00E06C34" w:rsidP="00E06C34" w:rsidRDefault="00E06C34" w14:paraId="241E5DA5" w14:textId="1269F776">
      <w:pPr>
        <w:pStyle w:val="Heading2"/>
      </w:pPr>
      <w:bookmarkStart w:name="_Toc233626471" w:id="34"/>
      <w:r w:rsidRPr="0060187C">
        <w:t>Strategic Commissioning Framework</w:t>
      </w:r>
      <w:bookmarkEnd w:id="34"/>
    </w:p>
    <w:p w:rsidRPr="0052682C" w:rsidR="00E06C34" w:rsidP="00E06C34" w:rsidRDefault="00E06C34" w14:paraId="390C6C9C" w14:textId="73F2033A">
      <w:r w:rsidRPr="00FE0BFC">
        <w:t xml:space="preserve">The Office </w:t>
      </w:r>
      <w:r w:rsidRPr="0060187C">
        <w:t>operates in line with the APS Strategic Commissioning Framework. Core work is done in-house in most cases, and any outsourcing of core work is minimal and aligns with the limited circumstances permitted under the framework. </w:t>
      </w:r>
    </w:p>
    <w:p w:rsidRPr="0052682C" w:rsidR="00EC0BAC" w:rsidP="00EC0BAC" w:rsidRDefault="00EC0BAC" w14:paraId="5F292317" w14:textId="129B47D0">
      <w:pPr>
        <w:pStyle w:val="Heading2"/>
      </w:pPr>
      <w:bookmarkStart w:name="_Toc233626472" w:id="35"/>
      <w:r w:rsidRPr="0052682C">
        <w:t>Technology</w:t>
      </w:r>
      <w:bookmarkEnd w:id="33"/>
      <w:bookmarkEnd w:id="35"/>
    </w:p>
    <w:p w:rsidRPr="008435A7" w:rsidR="00EC0BAC" w:rsidP="00EC0BAC" w:rsidRDefault="00EC0BAC" w14:paraId="48341301" w14:textId="48617076">
      <w:r w:rsidRPr="008435A7">
        <w:t>We continue to assess and enhance the technology</w:t>
      </w:r>
      <w:r w:rsidRPr="008435A7" w:rsidR="63AE1162">
        <w:t xml:space="preserve"> and</w:t>
      </w:r>
      <w:r w:rsidRPr="008435A7">
        <w:t xml:space="preserve"> data that support the delivery of our functions. Our systems must remain robust, reliable, secure and fit for purpose to ensure we can meet our responsibilities effectively and efficiently.</w:t>
      </w:r>
      <w:r w:rsidRPr="008435A7" w:rsidR="477DBE31">
        <w:t xml:space="preserve"> </w:t>
      </w:r>
    </w:p>
    <w:p w:rsidRPr="008435A7" w:rsidR="44CF2F35" w:rsidP="0BC6AC10" w:rsidRDefault="00FD453E" w14:paraId="7E7E3800" w14:textId="4272E167">
      <w:r>
        <w:t>We have</w:t>
      </w:r>
      <w:r w:rsidR="44CF2F35">
        <w:t xml:space="preserve"> developed a </w:t>
      </w:r>
      <w:hyperlink w:history="1" r:id="rId23">
        <w:r w:rsidRPr="1A20C844" w:rsidR="44CF2F35">
          <w:rPr>
            <w:rStyle w:val="Hyperlink"/>
          </w:rPr>
          <w:t xml:space="preserve">Data </w:t>
        </w:r>
        <w:r w:rsidR="00CD4747">
          <w:rPr>
            <w:rStyle w:val="Hyperlink"/>
          </w:rPr>
          <w:t>s</w:t>
        </w:r>
        <w:r w:rsidRPr="1A20C844" w:rsidR="44CF2F35">
          <w:rPr>
            <w:rStyle w:val="Hyperlink"/>
          </w:rPr>
          <w:t>trategy</w:t>
        </w:r>
      </w:hyperlink>
      <w:r w:rsidR="44CF2F35">
        <w:t xml:space="preserve"> that governs how we collect, use and manage data, in line with </w:t>
      </w:r>
      <w:r w:rsidR="00E57DA4">
        <w:t>the</w:t>
      </w:r>
      <w:r w:rsidR="44CF2F35">
        <w:t xml:space="preserve"> requirements</w:t>
      </w:r>
      <w:r w:rsidR="00E57DA4">
        <w:t xml:space="preserve"> of the National Archives of Australia,</w:t>
      </w:r>
      <w:r w:rsidR="44CF2F35">
        <w:t xml:space="preserve"> and best practice for the collection and usage of data about</w:t>
      </w:r>
      <w:r w:rsidR="05107C17">
        <w:t xml:space="preserve"> </w:t>
      </w:r>
      <w:r w:rsidR="00E57DA4">
        <w:t>F</w:t>
      </w:r>
      <w:r w:rsidR="05107C17">
        <w:t xml:space="preserve">irst </w:t>
      </w:r>
      <w:r w:rsidR="00E57DA4">
        <w:t>N</w:t>
      </w:r>
      <w:r w:rsidR="05107C17">
        <w:t xml:space="preserve">ations </w:t>
      </w:r>
      <w:r w:rsidR="00E57DA4">
        <w:t>peoples</w:t>
      </w:r>
      <w:r w:rsidR="05107C17">
        <w:t xml:space="preserve">. </w:t>
      </w:r>
      <w:r w:rsidR="7A118A52">
        <w:t xml:space="preserve"> We have reviewed and published our </w:t>
      </w:r>
      <w:hyperlink w:history="1" r:id="rId24">
        <w:r w:rsidRPr="003D24E0" w:rsidR="7A118A52">
          <w:rPr>
            <w:rStyle w:val="Hyperlink"/>
          </w:rPr>
          <w:t xml:space="preserve">Artificial </w:t>
        </w:r>
        <w:r w:rsidRPr="003D24E0" w:rsidR="003D24E0">
          <w:rPr>
            <w:rStyle w:val="Hyperlink"/>
          </w:rPr>
          <w:t>i</w:t>
        </w:r>
        <w:r w:rsidRPr="003D24E0" w:rsidR="7A118A52">
          <w:rPr>
            <w:rStyle w:val="Hyperlink"/>
          </w:rPr>
          <w:t xml:space="preserve">ntelligence </w:t>
        </w:r>
        <w:r w:rsidRPr="003D24E0" w:rsidR="003D24E0">
          <w:rPr>
            <w:rStyle w:val="Hyperlink"/>
          </w:rPr>
          <w:t>transparency s</w:t>
        </w:r>
        <w:r w:rsidRPr="003D24E0" w:rsidR="7A118A52">
          <w:rPr>
            <w:rStyle w:val="Hyperlink"/>
          </w:rPr>
          <w:t>tatement</w:t>
        </w:r>
      </w:hyperlink>
      <w:r w:rsidR="7A118A52">
        <w:t>, detailing how the agency uses AI technol</w:t>
      </w:r>
      <w:r w:rsidR="2F51B74E">
        <w:t xml:space="preserve">ogy to support work. </w:t>
      </w:r>
    </w:p>
    <w:p w:rsidRPr="008435A7" w:rsidR="7E1D50CC" w:rsidP="0BC6AC10" w:rsidRDefault="00E57DA4" w14:paraId="0002DCFB" w14:textId="2E48CBB4">
      <w:r>
        <w:t>We</w:t>
      </w:r>
      <w:r w:rsidRPr="008435A7" w:rsidR="7E1D50CC">
        <w:t xml:space="preserve"> continue to explore options for secure and best-practice data sharing and analysis with key strategic partners across the APS and academia. </w:t>
      </w:r>
    </w:p>
    <w:p w:rsidRPr="0060187C" w:rsidR="00082C4D" w:rsidP="003003EB" w:rsidRDefault="00082C4D" w14:paraId="3EBCF783" w14:textId="797F422C"/>
    <w:p w:rsidRPr="0060187C" w:rsidR="00EC0BAC" w:rsidP="0057145B" w:rsidRDefault="00EC0BAC" w14:paraId="36E2D1CC" w14:textId="1296D5F8">
      <w:pPr>
        <w:pStyle w:val="Heading1"/>
      </w:pPr>
      <w:bookmarkStart w:name="_Toc222308737" w:id="36"/>
      <w:bookmarkStart w:name="_Toc233626473" w:id="37"/>
      <w:r w:rsidRPr="0060187C">
        <w:t>Risk oversight</w:t>
      </w:r>
      <w:bookmarkEnd w:id="36"/>
      <w:bookmarkEnd w:id="37"/>
    </w:p>
    <w:p w:rsidR="008B4ED0" w:rsidP="00732D76" w:rsidRDefault="008B4ED0" w14:paraId="143A4DC9" w14:textId="1F9F09B6">
      <w:pPr>
        <w:pStyle w:val="Heading2"/>
      </w:pPr>
      <w:bookmarkStart w:name="_Toc233626474" w:id="38"/>
      <w:r>
        <w:t>Key risks</w:t>
      </w:r>
      <w:r w:rsidR="00937FDC">
        <w:t xml:space="preserve"> and risk management</w:t>
      </w:r>
      <w:bookmarkEnd w:id="38"/>
    </w:p>
    <w:p w:rsidRPr="0060187C" w:rsidR="00937FDC" w:rsidP="00937FDC" w:rsidRDefault="00937FDC" w14:paraId="0CA68DB4" w14:textId="77777777">
      <w:r w:rsidRPr="0060187C">
        <w:t>Effective risk management is central to supporting our strategic direction. We regularly report against our risk management framework, including policies and a risk register, to identify, respond to and actively manage our key risks.</w:t>
      </w:r>
    </w:p>
    <w:p w:rsidRPr="0060187C" w:rsidR="00937FDC" w:rsidP="00937FDC" w:rsidRDefault="00937FDC" w14:paraId="6C96EF4E" w14:textId="77777777">
      <w:r w:rsidRPr="0060187C">
        <w:t>Our approach aligns with the Commonwealth Risk Management Policy and reflects our risk appetite to maintain high standards of accountability and integrity.</w:t>
      </w:r>
    </w:p>
    <w:p w:rsidRPr="0060187C" w:rsidR="00937FDC" w:rsidP="00937FDC" w:rsidRDefault="00937FDC" w14:paraId="75677706" w14:textId="4828D8ED">
      <w:r w:rsidRPr="0060187C">
        <w:t xml:space="preserve">Risk management is </w:t>
      </w:r>
      <w:r w:rsidR="0099447E">
        <w:t>the</w:t>
      </w:r>
      <w:r w:rsidRPr="0060187C" w:rsidR="0099447E">
        <w:t xml:space="preserve"> </w:t>
      </w:r>
      <w:r w:rsidRPr="0060187C">
        <w:t>responsibility</w:t>
      </w:r>
      <w:r w:rsidR="0099447E">
        <w:t xml:space="preserve"> of everyone in the agency</w:t>
      </w:r>
      <w:r w:rsidRPr="0060187C">
        <w:t>. We encourage early and open discussions about risks, recognising their importance in identifying and managing new or emerging issues.</w:t>
      </w:r>
    </w:p>
    <w:p w:rsidR="00732D76" w:rsidP="00732D76" w:rsidRDefault="007320DD" w14:paraId="2E459ACD" w14:textId="22EE7145">
      <w:r>
        <w:t xml:space="preserve">The Office is managing 5 key risks, as detailed in </w:t>
      </w:r>
      <w:r w:rsidR="005A3925">
        <w:t>T</w:t>
      </w:r>
      <w:r>
        <w:t xml:space="preserve">able </w:t>
      </w:r>
      <w:r w:rsidR="005A3925">
        <w:t>1</w:t>
      </w:r>
      <w:r>
        <w:t xml:space="preserve">. </w:t>
      </w:r>
    </w:p>
    <w:p w:rsidRPr="0060187C" w:rsidR="0014472F" w:rsidP="0014472F" w:rsidRDefault="0014472F" w14:paraId="37D25E89" w14:textId="6443A4AC">
      <w:pPr>
        <w:pStyle w:val="Caption"/>
      </w:pPr>
      <w:r>
        <w:t>Table 1</w:t>
      </w:r>
      <w:r w:rsidRPr="0060187C">
        <w:t xml:space="preserve">: </w:t>
      </w:r>
      <w:r w:rsidR="009F16C7">
        <w:t>K</w:t>
      </w:r>
      <w:r>
        <w:t>ey risks and management strategies</w:t>
      </w:r>
    </w:p>
    <w:tbl>
      <w:tblPr>
        <w:tblStyle w:val="GridTable3-Accent2"/>
        <w:tblW w:w="0" w:type="auto"/>
        <w:tblInd w:w="-16" w:type="dxa"/>
        <w:tblBorders>
          <w:top w:val="single" w:color="A25AD0" w:sz="4" w:space="0"/>
          <w:left w:val="single" w:color="A25AD0" w:sz="4" w:space="0"/>
          <w:bottom w:val="single" w:color="A25AD0" w:sz="4" w:space="0"/>
          <w:right w:val="single" w:color="A25AD0" w:sz="4" w:space="0"/>
          <w:insideH w:val="single" w:color="A25AD0" w:sz="4" w:space="0"/>
          <w:insideV w:val="single" w:color="A25AD0" w:sz="4" w:space="0"/>
        </w:tblBorders>
        <w:tblLook w:val="04A0" w:firstRow="1" w:lastRow="0" w:firstColumn="1" w:lastColumn="0" w:noHBand="0" w:noVBand="1"/>
      </w:tblPr>
      <w:tblGrid>
        <w:gridCol w:w="3277"/>
        <w:gridCol w:w="5806"/>
      </w:tblGrid>
      <w:tr w:rsidR="00E17F43" w:rsidTr="0032259B" w14:paraId="0AACE6F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77" w:type="dxa"/>
            <w:shd w:val="clear" w:color="auto" w:fill="452669" w:themeFill="accent1"/>
            <w:tcMar>
              <w:left w:w="105" w:type="dxa"/>
              <w:right w:w="105" w:type="dxa"/>
            </w:tcMar>
            <w:vAlign w:val="center"/>
          </w:tcPr>
          <w:p w:rsidRPr="00365203" w:rsidR="00E17F43" w:rsidP="00833209" w:rsidRDefault="007C71C3" w14:paraId="1B4CDF07" w14:textId="40A4CB66">
            <w:pPr>
              <w:pStyle w:val="Heading4"/>
              <w:spacing w:before="60" w:after="60"/>
              <w:contextualSpacing/>
              <w:jc w:val="left"/>
              <w:rPr>
                <w:rFonts w:ascii="Calibri" w:hAnsi="Calibri" w:eastAsia="Calibri" w:cs="Calibri"/>
                <w:b/>
                <w:bCs/>
                <w:i w:val="0"/>
                <w:iCs w:val="0"/>
                <w:color w:val="FFFFFF" w:themeColor="background1"/>
              </w:rPr>
            </w:pPr>
            <w:r>
              <w:rPr>
                <w:rFonts w:ascii="Calibri" w:hAnsi="Calibri" w:eastAsia="Calibri" w:cs="Calibri"/>
                <w:b/>
                <w:bCs/>
                <w:i w:val="0"/>
                <w:iCs w:val="0"/>
                <w:color w:val="FFFFFF" w:themeColor="background1"/>
              </w:rPr>
              <w:t>Key risk</w:t>
            </w:r>
          </w:p>
        </w:tc>
        <w:tc>
          <w:tcPr>
            <w:tcW w:w="5806" w:type="dxa"/>
            <w:tcBorders>
              <w:bottom w:val="nil"/>
            </w:tcBorders>
            <w:shd w:val="clear" w:color="auto" w:fill="452669" w:themeFill="accent1"/>
            <w:tcMar>
              <w:left w:w="105" w:type="dxa"/>
              <w:right w:w="105" w:type="dxa"/>
            </w:tcMar>
            <w:vAlign w:val="center"/>
          </w:tcPr>
          <w:p w:rsidRPr="00443360" w:rsidR="00E17F43" w:rsidP="00833209" w:rsidRDefault="007C71C3" w14:paraId="6F14C3EA" w14:textId="6CC5B9F0">
            <w:pPr>
              <w:pStyle w:val="Heading4"/>
              <w:spacing w:before="60" w:after="60"/>
              <w:contextualSpacing/>
              <w:cnfStyle w:val="100000000000" w:firstRow="1" w:lastRow="0" w:firstColumn="0" w:lastColumn="0" w:oddVBand="0" w:evenVBand="0" w:oddHBand="0" w:evenHBand="0" w:firstRowFirstColumn="0" w:firstRowLastColumn="0" w:lastRowFirstColumn="0" w:lastRowLastColumn="0"/>
              <w:rPr>
                <w:rFonts w:ascii="Calibri" w:hAnsi="Calibri" w:eastAsia="Calibri" w:cs="Calibri"/>
                <w:b/>
                <w:bCs/>
                <w:color w:val="FFFFFF" w:themeColor="background1"/>
              </w:rPr>
            </w:pPr>
            <w:r>
              <w:rPr>
                <w:rFonts w:ascii="Calibri" w:hAnsi="Calibri" w:eastAsia="Calibri" w:cs="Calibri"/>
                <w:b/>
                <w:bCs/>
                <w:color w:val="FFFFFF" w:themeColor="background1"/>
              </w:rPr>
              <w:t>How the risk is managed</w:t>
            </w:r>
          </w:p>
        </w:tc>
      </w:tr>
      <w:tr w:rsidRPr="006F0CD3" w:rsidR="006F0CD3" w:rsidTr="0032259B" w14:paraId="3095EF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7" w:type="dxa"/>
            <w:tcBorders>
              <w:right w:val="nil"/>
            </w:tcBorders>
            <w:shd w:val="clear" w:color="auto" w:fill="F3E9F3" w:themeFill="accent3" w:themeFillTint="33"/>
            <w:tcMar>
              <w:left w:w="105" w:type="dxa"/>
              <w:right w:w="105" w:type="dxa"/>
            </w:tcMar>
          </w:tcPr>
          <w:p w:rsidRPr="00D171E4" w:rsidR="007C71C3" w:rsidP="00833209" w:rsidRDefault="000548EA" w14:paraId="03C62229" w14:textId="0F8A44D3">
            <w:pPr>
              <w:pStyle w:val="ListParagraph"/>
              <w:numPr>
                <w:ilvl w:val="0"/>
                <w:numId w:val="68"/>
              </w:numPr>
              <w:spacing w:before="60" w:after="60"/>
              <w:jc w:val="left"/>
              <w:rPr>
                <w:rFonts w:asciiTheme="minorHAnsi" w:hAnsiTheme="minorHAnsi" w:cstheme="minorHAnsi"/>
                <w:i w:val="0"/>
                <w:iCs w:val="0"/>
              </w:rPr>
            </w:pPr>
            <w:r w:rsidRPr="00D171E4">
              <w:rPr>
                <w:rFonts w:eastAsia="Calibri" w:asciiTheme="minorHAnsi" w:hAnsiTheme="minorHAnsi" w:cstheme="minorHAnsi"/>
                <w:i w:val="0"/>
                <w:iCs w:val="0"/>
              </w:rPr>
              <w:t xml:space="preserve">Failure to </w:t>
            </w:r>
            <w:r w:rsidRPr="00D171E4" w:rsidR="007C71C3">
              <w:rPr>
                <w:rFonts w:eastAsia="Calibri" w:asciiTheme="minorHAnsi" w:hAnsiTheme="minorHAnsi" w:cstheme="minorHAnsi"/>
                <w:i w:val="0"/>
                <w:iCs w:val="0"/>
              </w:rPr>
              <w:t>attract, train, protect and retain high quality staff</w:t>
            </w:r>
          </w:p>
          <w:p w:rsidRPr="00365203" w:rsidR="007C71C3" w:rsidP="00833209" w:rsidRDefault="007C71C3" w14:paraId="5AA974DF" w14:textId="2203B868">
            <w:pPr>
              <w:spacing w:before="60" w:after="60"/>
              <w:contextualSpacing/>
              <w:jc w:val="left"/>
              <w:rPr>
                <w:rFonts w:eastAsia="Calibri" w:asciiTheme="minorHAnsi" w:hAnsiTheme="minorHAnsi" w:cstheme="minorHAnsi"/>
                <w:i w:val="0"/>
                <w:iCs w:val="0"/>
              </w:rPr>
            </w:pPr>
          </w:p>
        </w:tc>
        <w:tc>
          <w:tcPr>
            <w:tcW w:w="5806" w:type="dxa"/>
            <w:tcBorders>
              <w:top w:val="nil"/>
              <w:left w:val="nil"/>
              <w:bottom w:val="nil"/>
              <w:right w:val="nil"/>
            </w:tcBorders>
            <w:shd w:val="clear" w:color="auto" w:fill="F3E9F3" w:themeFill="accent3" w:themeFillTint="33"/>
            <w:tcMar>
              <w:left w:w="105" w:type="dxa"/>
              <w:right w:w="105" w:type="dxa"/>
            </w:tcMar>
          </w:tcPr>
          <w:p w:rsidRPr="00365203" w:rsidR="007C71C3" w:rsidP="00833209" w:rsidRDefault="007C71C3" w14:paraId="1DDC59FC" w14:textId="61BA7277">
            <w:pPr>
              <w:pStyle w:val="ListParagraph"/>
              <w:numPr>
                <w:ilvl w:val="0"/>
                <w:numId w:val="53"/>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65203">
              <w:rPr>
                <w:rFonts w:asciiTheme="minorHAnsi" w:hAnsiTheme="minorHAnsi" w:cstheme="minorHAnsi"/>
              </w:rPr>
              <w:t>Monitor and forecast work delivery and output to assist in resource planning and recruitment</w:t>
            </w:r>
            <w:r w:rsidRPr="00365203" w:rsidR="000548EA">
              <w:rPr>
                <w:rFonts w:asciiTheme="minorHAnsi" w:hAnsiTheme="minorHAnsi" w:cstheme="minorHAnsi"/>
              </w:rPr>
              <w:t>.</w:t>
            </w:r>
          </w:p>
          <w:p w:rsidRPr="00365203" w:rsidR="007C71C3" w:rsidP="00833209" w:rsidRDefault="007C71C3" w14:paraId="31F574FE" w14:textId="7F4506A7">
            <w:pPr>
              <w:pStyle w:val="ListParagraph"/>
              <w:numPr>
                <w:ilvl w:val="0"/>
                <w:numId w:val="53"/>
              </w:numPr>
              <w:spacing w:before="60" w:after="60"/>
              <w:cnfStyle w:val="000000100000" w:firstRow="0" w:lastRow="0" w:firstColumn="0" w:lastColumn="0" w:oddVBand="0" w:evenVBand="0" w:oddHBand="1" w:evenHBand="0" w:firstRowFirstColumn="0" w:firstRowLastColumn="0" w:lastRowFirstColumn="0" w:lastRowLastColumn="0"/>
              <w:rPr>
                <w:rFonts w:eastAsia="Calibri" w:asciiTheme="minorHAnsi" w:hAnsiTheme="minorHAnsi" w:cstheme="minorHAnsi"/>
              </w:rPr>
            </w:pPr>
            <w:r w:rsidRPr="00365203">
              <w:rPr>
                <w:rFonts w:asciiTheme="minorHAnsi" w:hAnsiTheme="minorHAnsi" w:cstheme="minorHAnsi"/>
              </w:rPr>
              <w:t xml:space="preserve">As </w:t>
            </w:r>
            <w:r w:rsidRPr="00365203" w:rsidR="00C9686F">
              <w:rPr>
                <w:rFonts w:asciiTheme="minorHAnsi" w:hAnsiTheme="minorHAnsi" w:cstheme="minorHAnsi"/>
              </w:rPr>
              <w:t>opportunities</w:t>
            </w:r>
            <w:r w:rsidRPr="00365203">
              <w:rPr>
                <w:rFonts w:asciiTheme="minorHAnsi" w:hAnsiTheme="minorHAnsi" w:cstheme="minorHAnsi"/>
              </w:rPr>
              <w:t xml:space="preserve"> exist, seek additional funding and/or ASL to manage longer-term delivery of functions</w:t>
            </w:r>
            <w:r w:rsidR="00BC37A2">
              <w:rPr>
                <w:rFonts w:asciiTheme="minorHAnsi" w:hAnsiTheme="minorHAnsi" w:cstheme="minorHAnsi"/>
              </w:rPr>
              <w:t>.</w:t>
            </w:r>
          </w:p>
        </w:tc>
      </w:tr>
      <w:tr w:rsidRPr="006F0CD3" w:rsidR="006F0CD3" w:rsidTr="0032259B" w14:paraId="09D176DB" w14:textId="77777777">
        <w:tc>
          <w:tcPr>
            <w:cnfStyle w:val="001000000000" w:firstRow="0" w:lastRow="0" w:firstColumn="1" w:lastColumn="0" w:oddVBand="0" w:evenVBand="0" w:oddHBand="0" w:evenHBand="0" w:firstRowFirstColumn="0" w:firstRowLastColumn="0" w:lastRowFirstColumn="0" w:lastRowLastColumn="0"/>
            <w:tcW w:w="3277" w:type="dxa"/>
            <w:tcBorders>
              <w:right w:val="nil"/>
            </w:tcBorders>
            <w:tcMar>
              <w:left w:w="105" w:type="dxa"/>
              <w:right w:w="105" w:type="dxa"/>
            </w:tcMar>
          </w:tcPr>
          <w:p w:rsidRPr="00B0758C" w:rsidR="007C71C3" w:rsidP="00833209" w:rsidRDefault="000548EA" w14:paraId="50E6E874" w14:textId="7F7C9F75">
            <w:pPr>
              <w:pStyle w:val="ListParagraph"/>
              <w:numPr>
                <w:ilvl w:val="0"/>
                <w:numId w:val="68"/>
              </w:numPr>
              <w:spacing w:before="60" w:after="60"/>
              <w:jc w:val="left"/>
              <w:rPr>
                <w:rFonts w:eastAsia="Calibri" w:asciiTheme="minorHAnsi" w:hAnsiTheme="minorHAnsi" w:cstheme="minorHAnsi"/>
                <w:i w:val="0"/>
                <w:iCs w:val="0"/>
              </w:rPr>
            </w:pPr>
            <w:r>
              <w:rPr>
                <w:rFonts w:eastAsia="Calibri" w:asciiTheme="minorHAnsi" w:hAnsiTheme="minorHAnsi" w:cstheme="minorHAnsi"/>
                <w:i w:val="0"/>
                <w:iCs w:val="0"/>
              </w:rPr>
              <w:t>Failure of g</w:t>
            </w:r>
            <w:r w:rsidRPr="00365203" w:rsidR="007C71C3">
              <w:rPr>
                <w:rFonts w:eastAsia="Calibri" w:asciiTheme="minorHAnsi" w:hAnsiTheme="minorHAnsi" w:cstheme="minorHAnsi"/>
                <w:i w:val="0"/>
                <w:iCs w:val="0"/>
              </w:rPr>
              <w:t xml:space="preserve">overnance frameworks </w:t>
            </w:r>
            <w:r>
              <w:rPr>
                <w:rFonts w:eastAsia="Calibri" w:asciiTheme="minorHAnsi" w:hAnsiTheme="minorHAnsi" w:cstheme="minorHAnsi"/>
                <w:i w:val="0"/>
                <w:iCs w:val="0"/>
              </w:rPr>
              <w:t>to</w:t>
            </w:r>
            <w:r w:rsidRPr="00365203" w:rsidR="007C71C3">
              <w:rPr>
                <w:rFonts w:eastAsia="Calibri" w:asciiTheme="minorHAnsi" w:hAnsiTheme="minorHAnsi" w:cstheme="minorHAnsi"/>
                <w:i w:val="0"/>
                <w:iCs w:val="0"/>
              </w:rPr>
              <w:t xml:space="preserve"> effectively support </w:t>
            </w:r>
            <w:r>
              <w:rPr>
                <w:rFonts w:eastAsia="Calibri" w:asciiTheme="minorHAnsi" w:hAnsiTheme="minorHAnsi" w:cstheme="minorHAnsi"/>
                <w:i w:val="0"/>
                <w:iCs w:val="0"/>
              </w:rPr>
              <w:t>the</w:t>
            </w:r>
            <w:r w:rsidRPr="00B0758C" w:rsidR="007C71C3">
              <w:rPr>
                <w:rFonts w:eastAsia="Calibri" w:asciiTheme="minorHAnsi" w:hAnsiTheme="minorHAnsi" w:cstheme="minorHAnsi"/>
                <w:i w:val="0"/>
                <w:iCs w:val="0"/>
              </w:rPr>
              <w:t xml:space="preserve"> undertaking </w:t>
            </w:r>
            <w:r>
              <w:rPr>
                <w:rFonts w:eastAsia="Calibri" w:asciiTheme="minorHAnsi" w:hAnsiTheme="minorHAnsi" w:cstheme="minorHAnsi"/>
                <w:i w:val="0"/>
                <w:iCs w:val="0"/>
              </w:rPr>
              <w:t>of our</w:t>
            </w:r>
            <w:r w:rsidRPr="00B0758C" w:rsidR="007C71C3">
              <w:rPr>
                <w:rFonts w:eastAsia="Calibri" w:asciiTheme="minorHAnsi" w:hAnsiTheme="minorHAnsi" w:cstheme="minorHAnsi"/>
                <w:i w:val="0"/>
                <w:iCs w:val="0"/>
              </w:rPr>
              <w:t xml:space="preserve"> functions</w:t>
            </w:r>
          </w:p>
        </w:tc>
        <w:tc>
          <w:tcPr>
            <w:tcW w:w="5806" w:type="dxa"/>
            <w:tcBorders>
              <w:top w:val="nil"/>
              <w:left w:val="nil"/>
              <w:bottom w:val="nil"/>
              <w:right w:val="nil"/>
            </w:tcBorders>
            <w:tcMar>
              <w:left w:w="105" w:type="dxa"/>
              <w:right w:w="105" w:type="dxa"/>
            </w:tcMar>
          </w:tcPr>
          <w:p w:rsidRPr="00365203" w:rsidR="007C71C3" w:rsidP="00833209" w:rsidRDefault="007C71C3" w14:paraId="2EE49F5B" w14:textId="5BA28AFA">
            <w:pPr>
              <w:pStyle w:val="ListParagraph"/>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65203">
              <w:rPr>
                <w:rFonts w:asciiTheme="minorHAnsi" w:hAnsiTheme="minorHAnsi" w:cstheme="minorHAnsi"/>
              </w:rPr>
              <w:t xml:space="preserve">Quarterly reporting to </w:t>
            </w:r>
            <w:r w:rsidR="000B1221">
              <w:rPr>
                <w:rFonts w:asciiTheme="minorHAnsi" w:hAnsiTheme="minorHAnsi" w:cstheme="minorHAnsi"/>
              </w:rPr>
              <w:t xml:space="preserve">the </w:t>
            </w:r>
            <w:r w:rsidR="00BC37A2">
              <w:rPr>
                <w:rFonts w:asciiTheme="minorHAnsi" w:hAnsiTheme="minorHAnsi" w:cstheme="minorHAnsi"/>
              </w:rPr>
              <w:t>Audit and Risk Committee</w:t>
            </w:r>
            <w:r w:rsidRPr="00365203">
              <w:rPr>
                <w:rFonts w:asciiTheme="minorHAnsi" w:hAnsiTheme="minorHAnsi" w:cstheme="minorHAnsi"/>
              </w:rPr>
              <w:t xml:space="preserve"> on any instances of fraud or corruption</w:t>
            </w:r>
            <w:r w:rsidR="00BC37A2">
              <w:rPr>
                <w:rFonts w:asciiTheme="minorHAnsi" w:hAnsiTheme="minorHAnsi" w:cstheme="minorHAnsi"/>
              </w:rPr>
              <w:t>.</w:t>
            </w:r>
          </w:p>
          <w:p w:rsidRPr="00B0758C" w:rsidR="007C71C3" w:rsidP="00833209" w:rsidRDefault="007C71C3" w14:paraId="13C2431F" w14:textId="76AA3D56">
            <w:pPr>
              <w:pStyle w:val="ListParagraph"/>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65203">
              <w:rPr>
                <w:rFonts w:asciiTheme="minorHAnsi" w:hAnsiTheme="minorHAnsi" w:cstheme="minorHAnsi"/>
              </w:rPr>
              <w:t>Annual</w:t>
            </w:r>
            <w:r w:rsidR="001348C0">
              <w:rPr>
                <w:rFonts w:asciiTheme="minorHAnsi" w:hAnsiTheme="minorHAnsi" w:cstheme="minorHAnsi"/>
              </w:rPr>
              <w:t>ly</w:t>
            </w:r>
            <w:r w:rsidRPr="00B0758C">
              <w:rPr>
                <w:rFonts w:asciiTheme="minorHAnsi" w:hAnsiTheme="minorHAnsi" w:cstheme="minorHAnsi"/>
              </w:rPr>
              <w:t xml:space="preserve"> review policies and procedures regarding </w:t>
            </w:r>
            <w:r w:rsidR="00BC37A2">
              <w:rPr>
                <w:rFonts w:asciiTheme="minorHAnsi" w:hAnsiTheme="minorHAnsi" w:cstheme="minorHAnsi"/>
              </w:rPr>
              <w:t>r</w:t>
            </w:r>
            <w:r w:rsidRPr="00B0758C">
              <w:rPr>
                <w:rFonts w:asciiTheme="minorHAnsi" w:hAnsiTheme="minorHAnsi" w:cstheme="minorHAnsi"/>
              </w:rPr>
              <w:t xml:space="preserve">isk, fraud and </w:t>
            </w:r>
            <w:r w:rsidRPr="00C9686F" w:rsidR="00C9686F">
              <w:rPr>
                <w:rFonts w:asciiTheme="minorHAnsi" w:hAnsiTheme="minorHAnsi" w:cstheme="minorHAnsi"/>
              </w:rPr>
              <w:t>corruption</w:t>
            </w:r>
            <w:r w:rsidR="00BC37A2">
              <w:rPr>
                <w:rFonts w:asciiTheme="minorHAnsi" w:hAnsiTheme="minorHAnsi" w:cstheme="minorHAnsi"/>
              </w:rPr>
              <w:t>.</w:t>
            </w:r>
          </w:p>
          <w:p w:rsidRPr="00B0758C" w:rsidR="007C71C3" w:rsidP="00833209" w:rsidRDefault="001348C0" w14:paraId="1E95C6AB" w14:textId="198F43B9">
            <w:pPr>
              <w:pStyle w:val="ListParagraph"/>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R</w:t>
            </w:r>
            <w:r w:rsidR="00833209">
              <w:rPr>
                <w:rFonts w:asciiTheme="minorHAnsi" w:hAnsiTheme="minorHAnsi" w:cstheme="minorHAnsi"/>
              </w:rPr>
              <w:t>equire m</w:t>
            </w:r>
            <w:r w:rsidRPr="00B0758C" w:rsidR="007C71C3">
              <w:rPr>
                <w:rFonts w:asciiTheme="minorHAnsi" w:hAnsiTheme="minorHAnsi" w:cstheme="minorHAnsi"/>
              </w:rPr>
              <w:t>ulti-level approval processes</w:t>
            </w:r>
            <w:r>
              <w:rPr>
                <w:rFonts w:asciiTheme="minorHAnsi" w:hAnsiTheme="minorHAnsi" w:cstheme="minorHAnsi"/>
              </w:rPr>
              <w:t xml:space="preserve"> for expenditure</w:t>
            </w:r>
            <w:r w:rsidR="000B1221">
              <w:rPr>
                <w:rFonts w:asciiTheme="minorHAnsi" w:hAnsiTheme="minorHAnsi" w:cstheme="minorHAnsi"/>
              </w:rPr>
              <w:t>.</w:t>
            </w:r>
          </w:p>
          <w:p w:rsidRPr="00B0758C" w:rsidR="007C71C3" w:rsidP="00833209" w:rsidRDefault="001348C0" w14:paraId="72F34FC1" w14:textId="1A9688B4">
            <w:pPr>
              <w:pStyle w:val="ListParagraph"/>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Provide a</w:t>
            </w:r>
            <w:r w:rsidR="00722759">
              <w:rPr>
                <w:rFonts w:asciiTheme="minorHAnsi" w:hAnsiTheme="minorHAnsi" w:cstheme="minorHAnsi"/>
              </w:rPr>
              <w:t>nnual</w:t>
            </w:r>
            <w:r w:rsidRPr="00B0758C" w:rsidR="007C71C3">
              <w:rPr>
                <w:rFonts w:asciiTheme="minorHAnsi" w:hAnsiTheme="minorHAnsi" w:cstheme="minorHAnsi"/>
              </w:rPr>
              <w:t xml:space="preserve"> compliance training for all staff</w:t>
            </w:r>
            <w:r w:rsidR="00B87413">
              <w:rPr>
                <w:rFonts w:asciiTheme="minorHAnsi" w:hAnsiTheme="minorHAnsi" w:cstheme="minorHAnsi"/>
              </w:rPr>
              <w:t>.</w:t>
            </w:r>
            <w:r w:rsidRPr="00B0758C" w:rsidR="007C71C3">
              <w:rPr>
                <w:rFonts w:asciiTheme="minorHAnsi" w:hAnsiTheme="minorHAnsi" w:cstheme="minorHAnsi"/>
              </w:rPr>
              <w:t xml:space="preserve"> </w:t>
            </w:r>
          </w:p>
          <w:p w:rsidRPr="00B0758C" w:rsidR="007C71C3" w:rsidP="00833209" w:rsidRDefault="007C71C3" w14:paraId="45708CAC" w14:textId="0A6DCE82">
            <w:pPr>
              <w:pStyle w:val="ListParagraph"/>
              <w:numPr>
                <w:ilvl w:val="0"/>
                <w:numId w:val="51"/>
              </w:numPr>
              <w:spacing w:before="60" w:after="60"/>
              <w:cnfStyle w:val="000000000000" w:firstRow="0" w:lastRow="0" w:firstColumn="0" w:lastColumn="0" w:oddVBand="0" w:evenVBand="0" w:oddHBand="0" w:evenHBand="0" w:firstRowFirstColumn="0" w:firstRowLastColumn="0" w:lastRowFirstColumn="0" w:lastRowLastColumn="0"/>
              <w:rPr>
                <w:rFonts w:eastAsia="Calibri" w:cstheme="minorHAnsi"/>
              </w:rPr>
            </w:pPr>
            <w:r w:rsidRPr="00B0758C">
              <w:rPr>
                <w:rFonts w:asciiTheme="minorHAnsi" w:hAnsiTheme="minorHAnsi" w:cstheme="minorHAnsi"/>
              </w:rPr>
              <w:t>Commit to ongoing training and information sharing with staf</w:t>
            </w:r>
            <w:r w:rsidR="00B87413">
              <w:rPr>
                <w:rFonts w:asciiTheme="minorHAnsi" w:hAnsiTheme="minorHAnsi" w:cstheme="minorHAnsi"/>
              </w:rPr>
              <w:t>f.</w:t>
            </w:r>
          </w:p>
        </w:tc>
      </w:tr>
      <w:tr w:rsidRPr="006F0CD3" w:rsidR="006F0CD3" w:rsidTr="0032259B" w14:paraId="0562C9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7" w:type="dxa"/>
            <w:tcBorders>
              <w:right w:val="nil"/>
            </w:tcBorders>
            <w:shd w:val="clear" w:color="auto" w:fill="F3E9F3" w:themeFill="accent3" w:themeFillTint="33"/>
            <w:tcMar>
              <w:left w:w="105" w:type="dxa"/>
              <w:right w:w="105" w:type="dxa"/>
            </w:tcMar>
          </w:tcPr>
          <w:p w:rsidRPr="00B0758C" w:rsidR="007C71C3" w:rsidP="00833209" w:rsidRDefault="000548EA" w14:paraId="22F13F07" w14:textId="02D47CE2">
            <w:pPr>
              <w:pStyle w:val="ListParagraph"/>
              <w:numPr>
                <w:ilvl w:val="0"/>
                <w:numId w:val="68"/>
              </w:numPr>
              <w:spacing w:before="60" w:after="60"/>
              <w:jc w:val="left"/>
              <w:rPr>
                <w:rFonts w:eastAsia="Calibri" w:asciiTheme="minorHAnsi" w:hAnsiTheme="minorHAnsi" w:cstheme="minorHAnsi"/>
                <w:i w:val="0"/>
                <w:iCs w:val="0"/>
              </w:rPr>
            </w:pPr>
            <w:r>
              <w:rPr>
                <w:rFonts w:eastAsia="Calibri" w:asciiTheme="minorHAnsi" w:hAnsiTheme="minorHAnsi" w:cstheme="minorHAnsi"/>
                <w:i w:val="0"/>
                <w:iCs w:val="0"/>
              </w:rPr>
              <w:t xml:space="preserve">Failure to </w:t>
            </w:r>
            <w:r w:rsidRPr="00B0758C" w:rsidR="007C71C3">
              <w:rPr>
                <w:rFonts w:eastAsia="Calibri" w:asciiTheme="minorHAnsi" w:hAnsiTheme="minorHAnsi" w:cstheme="minorHAnsi"/>
                <w:i w:val="0"/>
                <w:iCs w:val="0"/>
              </w:rPr>
              <w:t>collaborate effectively with strategic and community partners</w:t>
            </w:r>
          </w:p>
        </w:tc>
        <w:tc>
          <w:tcPr>
            <w:tcW w:w="5806" w:type="dxa"/>
            <w:tcBorders>
              <w:top w:val="nil"/>
              <w:left w:val="nil"/>
              <w:bottom w:val="nil"/>
              <w:right w:val="nil"/>
            </w:tcBorders>
            <w:shd w:val="clear" w:color="auto" w:fill="F3E9F3" w:themeFill="accent3" w:themeFillTint="33"/>
            <w:tcMar>
              <w:left w:w="105" w:type="dxa"/>
              <w:right w:w="105" w:type="dxa"/>
            </w:tcMar>
          </w:tcPr>
          <w:p w:rsidRPr="00B0758C" w:rsidR="007C71C3" w:rsidP="00833209" w:rsidRDefault="007C71C3" w14:paraId="603CA1B3" w14:textId="7820C3FE">
            <w:pPr>
              <w:pStyle w:val="ListParagraph"/>
              <w:numPr>
                <w:ilvl w:val="0"/>
                <w:numId w:val="52"/>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0758C">
              <w:rPr>
                <w:rFonts w:asciiTheme="minorHAnsi" w:hAnsiTheme="minorHAnsi" w:cstheme="minorHAnsi"/>
              </w:rPr>
              <w:t>Ensure quality assurance process for all engagement and reporting activities</w:t>
            </w:r>
            <w:r w:rsidR="000B1221">
              <w:rPr>
                <w:rFonts w:asciiTheme="minorHAnsi" w:hAnsiTheme="minorHAnsi" w:cstheme="minorHAnsi"/>
              </w:rPr>
              <w:t>.</w:t>
            </w:r>
          </w:p>
          <w:p w:rsidRPr="00B0758C" w:rsidR="007C71C3" w:rsidP="00833209" w:rsidRDefault="007C71C3" w14:paraId="111440F3" w14:textId="477575F5">
            <w:pPr>
              <w:pStyle w:val="ListParagraph"/>
              <w:numPr>
                <w:ilvl w:val="0"/>
                <w:numId w:val="52"/>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0758C">
              <w:rPr>
                <w:rFonts w:asciiTheme="minorHAnsi" w:hAnsiTheme="minorHAnsi" w:cstheme="minorHAnsi"/>
              </w:rPr>
              <w:t>Actively engage with stakeholders with a focus on lived</w:t>
            </w:r>
            <w:r w:rsidRPr="00AF51C5" w:rsidR="00B87413">
              <w:rPr>
                <w:rFonts w:asciiTheme="minorHAnsi" w:hAnsiTheme="minorHAnsi" w:cstheme="minorHAnsi"/>
              </w:rPr>
              <w:t xml:space="preserve"> </w:t>
            </w:r>
            <w:r w:rsidRPr="00B0758C">
              <w:rPr>
                <w:rFonts w:asciiTheme="minorHAnsi" w:hAnsiTheme="minorHAnsi" w:cstheme="minorHAnsi"/>
              </w:rPr>
              <w:t>experience</w:t>
            </w:r>
            <w:r w:rsidR="000B1221">
              <w:rPr>
                <w:rFonts w:asciiTheme="minorHAnsi" w:hAnsiTheme="minorHAnsi" w:cstheme="minorHAnsi"/>
              </w:rPr>
              <w:t>.</w:t>
            </w:r>
          </w:p>
          <w:p w:rsidRPr="00B0758C" w:rsidR="007C71C3" w:rsidP="00833209" w:rsidRDefault="00F57092" w14:paraId="1C0BA26C" w14:textId="6D286DC9">
            <w:pPr>
              <w:pStyle w:val="ListParagraph"/>
              <w:numPr>
                <w:ilvl w:val="0"/>
                <w:numId w:val="52"/>
              </w:numPr>
              <w:spacing w:before="60" w:after="60"/>
              <w:cnfStyle w:val="000000100000" w:firstRow="0" w:lastRow="0" w:firstColumn="0" w:lastColumn="0" w:oddVBand="0" w:evenVBand="0" w:oddHBand="1" w:evenHBand="0" w:firstRowFirstColumn="0" w:firstRowLastColumn="0" w:lastRowFirstColumn="0" w:lastRowLastColumn="0"/>
              <w:rPr>
                <w:rFonts w:eastAsia="Calibri" w:asciiTheme="minorHAnsi" w:hAnsiTheme="minorHAnsi" w:cstheme="minorHAnsi"/>
              </w:rPr>
            </w:pPr>
            <w:r>
              <w:rPr>
                <w:rFonts w:asciiTheme="minorHAnsi" w:hAnsiTheme="minorHAnsi" w:cstheme="minorHAnsi"/>
              </w:rPr>
              <w:t>Engage regularly</w:t>
            </w:r>
            <w:r w:rsidRPr="00B0758C" w:rsidR="007C71C3">
              <w:rPr>
                <w:rFonts w:asciiTheme="minorHAnsi" w:hAnsiTheme="minorHAnsi" w:cstheme="minorHAnsi"/>
              </w:rPr>
              <w:t xml:space="preserve"> with senior stakeholders including </w:t>
            </w:r>
            <w:r w:rsidR="00AF51C5">
              <w:rPr>
                <w:rFonts w:asciiTheme="minorHAnsi" w:hAnsiTheme="minorHAnsi" w:cstheme="minorHAnsi"/>
              </w:rPr>
              <w:t>M</w:t>
            </w:r>
            <w:r w:rsidRPr="00B0758C" w:rsidR="00AF51C5">
              <w:rPr>
                <w:rFonts w:asciiTheme="minorHAnsi" w:hAnsiTheme="minorHAnsi" w:cstheme="minorHAnsi"/>
              </w:rPr>
              <w:t>inister</w:t>
            </w:r>
            <w:r w:rsidR="00927195">
              <w:rPr>
                <w:rFonts w:asciiTheme="minorHAnsi" w:hAnsiTheme="minorHAnsi" w:cstheme="minorHAnsi"/>
              </w:rPr>
              <w:t>s</w:t>
            </w:r>
            <w:r w:rsidRPr="00B0758C" w:rsidR="00AF51C5">
              <w:rPr>
                <w:rFonts w:asciiTheme="minorHAnsi" w:hAnsiTheme="minorHAnsi" w:cstheme="minorHAnsi"/>
              </w:rPr>
              <w:t>’</w:t>
            </w:r>
            <w:r w:rsidRPr="00B0758C" w:rsidR="007C71C3">
              <w:rPr>
                <w:rFonts w:asciiTheme="minorHAnsi" w:hAnsiTheme="minorHAnsi" w:cstheme="minorHAnsi"/>
              </w:rPr>
              <w:t xml:space="preserve"> office</w:t>
            </w:r>
            <w:r w:rsidR="00927195">
              <w:rPr>
                <w:rFonts w:asciiTheme="minorHAnsi" w:hAnsiTheme="minorHAnsi" w:cstheme="minorHAnsi"/>
              </w:rPr>
              <w:t>s</w:t>
            </w:r>
            <w:r w:rsidRPr="00B0758C" w:rsidR="007C71C3">
              <w:rPr>
                <w:rFonts w:asciiTheme="minorHAnsi" w:hAnsiTheme="minorHAnsi" w:cstheme="minorHAnsi"/>
              </w:rPr>
              <w:t xml:space="preserve"> and </w:t>
            </w:r>
            <w:r w:rsidR="00C751DB">
              <w:rPr>
                <w:rFonts w:asciiTheme="minorHAnsi" w:hAnsiTheme="minorHAnsi" w:cstheme="minorHAnsi"/>
              </w:rPr>
              <w:t xml:space="preserve">the </w:t>
            </w:r>
            <w:r w:rsidRPr="00B0758C" w:rsidR="007C71C3">
              <w:rPr>
                <w:rFonts w:asciiTheme="minorHAnsi" w:hAnsiTheme="minorHAnsi" w:cstheme="minorHAnsi"/>
              </w:rPr>
              <w:t>Department of Health, Disability</w:t>
            </w:r>
            <w:r w:rsidR="00CC4E8E">
              <w:rPr>
                <w:rFonts w:asciiTheme="minorHAnsi" w:hAnsiTheme="minorHAnsi" w:cstheme="minorHAnsi"/>
              </w:rPr>
              <w:t xml:space="preserve"> and Ageing</w:t>
            </w:r>
            <w:r w:rsidRPr="00AF51C5" w:rsidR="00AF51C5">
              <w:rPr>
                <w:rFonts w:asciiTheme="minorHAnsi" w:hAnsiTheme="minorHAnsi" w:cstheme="minorHAnsi"/>
              </w:rPr>
              <w:t>.</w:t>
            </w:r>
          </w:p>
        </w:tc>
      </w:tr>
      <w:tr w:rsidRPr="006F0CD3" w:rsidR="006F0CD3" w:rsidTr="0032259B" w14:paraId="2F0D7575" w14:textId="77777777">
        <w:tc>
          <w:tcPr>
            <w:cnfStyle w:val="001000000000" w:firstRow="0" w:lastRow="0" w:firstColumn="1" w:lastColumn="0" w:oddVBand="0" w:evenVBand="0" w:oddHBand="0" w:evenHBand="0" w:firstRowFirstColumn="0" w:firstRowLastColumn="0" w:lastRowFirstColumn="0" w:lastRowLastColumn="0"/>
            <w:tcW w:w="3277" w:type="dxa"/>
            <w:tcBorders>
              <w:right w:val="nil"/>
            </w:tcBorders>
            <w:tcMar>
              <w:left w:w="105" w:type="dxa"/>
              <w:right w:w="105" w:type="dxa"/>
            </w:tcMar>
          </w:tcPr>
          <w:p w:rsidRPr="00D171E4" w:rsidR="007C71C3" w:rsidP="00833209" w:rsidRDefault="000548EA" w14:paraId="787FD113" w14:textId="36A3FB31">
            <w:pPr>
              <w:pStyle w:val="ListParagraph"/>
              <w:numPr>
                <w:ilvl w:val="0"/>
                <w:numId w:val="68"/>
              </w:numPr>
              <w:spacing w:before="60" w:after="60"/>
              <w:jc w:val="left"/>
              <w:rPr>
                <w:rFonts w:eastAsia="Calibri" w:asciiTheme="minorHAnsi" w:hAnsiTheme="minorHAnsi" w:cstheme="minorHAnsi"/>
                <w:i w:val="0"/>
                <w:iCs w:val="0"/>
              </w:rPr>
            </w:pPr>
            <w:r w:rsidRPr="00D171E4">
              <w:rPr>
                <w:rFonts w:eastAsia="Calibri" w:asciiTheme="minorHAnsi" w:hAnsiTheme="minorHAnsi" w:cstheme="minorHAnsi"/>
                <w:i w:val="0"/>
                <w:iCs w:val="0"/>
              </w:rPr>
              <w:t xml:space="preserve">Failure of </w:t>
            </w:r>
            <w:r w:rsidRPr="00B0758C" w:rsidR="007C71C3">
              <w:rPr>
                <w:rFonts w:eastAsia="Calibri" w:asciiTheme="minorHAnsi" w:hAnsiTheme="minorHAnsi" w:cstheme="minorHAnsi"/>
                <w:i w:val="0"/>
                <w:iCs w:val="0"/>
              </w:rPr>
              <w:t xml:space="preserve">information and technology systems and infrastructure </w:t>
            </w:r>
            <w:r w:rsidRPr="00B0758C">
              <w:rPr>
                <w:rFonts w:eastAsia="Calibri" w:asciiTheme="minorHAnsi" w:hAnsiTheme="minorHAnsi" w:cstheme="minorHAnsi"/>
                <w:i w:val="0"/>
                <w:iCs w:val="0"/>
              </w:rPr>
              <w:t>to</w:t>
            </w:r>
            <w:r w:rsidRPr="00B0758C" w:rsidR="007C71C3">
              <w:rPr>
                <w:rFonts w:eastAsia="Calibri" w:asciiTheme="minorHAnsi" w:hAnsiTheme="minorHAnsi" w:cstheme="minorHAnsi"/>
                <w:i w:val="0"/>
                <w:iCs w:val="0"/>
              </w:rPr>
              <w:t xml:space="preserve"> effectively support </w:t>
            </w:r>
            <w:r w:rsidRPr="00B0758C">
              <w:rPr>
                <w:rFonts w:eastAsia="Calibri" w:asciiTheme="minorHAnsi" w:hAnsiTheme="minorHAnsi" w:cstheme="minorHAnsi"/>
                <w:i w:val="0"/>
                <w:iCs w:val="0"/>
              </w:rPr>
              <w:t>the</w:t>
            </w:r>
            <w:r w:rsidRPr="00B0758C" w:rsidR="007C71C3">
              <w:rPr>
                <w:rFonts w:eastAsia="Calibri" w:asciiTheme="minorHAnsi" w:hAnsiTheme="minorHAnsi" w:cstheme="minorHAnsi"/>
                <w:i w:val="0"/>
                <w:iCs w:val="0"/>
              </w:rPr>
              <w:t xml:space="preserve"> undertaking </w:t>
            </w:r>
            <w:r w:rsidRPr="00B0758C">
              <w:rPr>
                <w:rFonts w:eastAsia="Calibri" w:asciiTheme="minorHAnsi" w:hAnsiTheme="minorHAnsi" w:cstheme="minorHAnsi"/>
                <w:i w:val="0"/>
                <w:iCs w:val="0"/>
              </w:rPr>
              <w:t>of our</w:t>
            </w:r>
            <w:r w:rsidRPr="00B0758C" w:rsidR="007C71C3">
              <w:rPr>
                <w:rFonts w:eastAsia="Calibri" w:asciiTheme="minorHAnsi" w:hAnsiTheme="minorHAnsi" w:cstheme="minorHAnsi"/>
                <w:i w:val="0"/>
                <w:iCs w:val="0"/>
              </w:rPr>
              <w:t xml:space="preserve"> functions</w:t>
            </w:r>
          </w:p>
        </w:tc>
        <w:tc>
          <w:tcPr>
            <w:tcW w:w="5806" w:type="dxa"/>
            <w:tcBorders>
              <w:top w:val="nil"/>
              <w:left w:val="nil"/>
              <w:bottom w:val="nil"/>
              <w:right w:val="nil"/>
            </w:tcBorders>
            <w:tcMar>
              <w:left w:w="105" w:type="dxa"/>
              <w:right w:w="105" w:type="dxa"/>
            </w:tcMar>
          </w:tcPr>
          <w:p w:rsidRPr="00B0758C" w:rsidR="00CC4E8E" w:rsidP="00833209" w:rsidRDefault="007C71C3" w14:paraId="39D74C75" w14:textId="0288979E">
            <w:pPr>
              <w:pStyle w:val="ListParagraph"/>
              <w:numPr>
                <w:ilvl w:val="0"/>
                <w:numId w:val="55"/>
              </w:numPr>
              <w:tabs>
                <w:tab w:val="left" w:pos="1280"/>
              </w:tabs>
              <w:spacing w:before="60" w:after="60"/>
              <w:cnfStyle w:val="000000000000" w:firstRow="0" w:lastRow="0" w:firstColumn="0" w:lastColumn="0" w:oddVBand="0" w:evenVBand="0" w:oddHBand="0" w:evenHBand="0" w:firstRowFirstColumn="0" w:firstRowLastColumn="0" w:lastRowFirstColumn="0" w:lastRowLastColumn="0"/>
              <w:rPr>
                <w:rFonts w:eastAsia="Calibri" w:asciiTheme="minorHAnsi" w:hAnsiTheme="minorHAnsi" w:cstheme="minorHAnsi"/>
                <w:szCs w:val="22"/>
              </w:rPr>
            </w:pPr>
            <w:r w:rsidRPr="00B0758C">
              <w:rPr>
                <w:rFonts w:asciiTheme="minorHAnsi" w:hAnsiTheme="minorHAnsi" w:cstheme="minorHAnsi"/>
              </w:rPr>
              <w:t xml:space="preserve">Invest in training for key staff regarding technology, data and </w:t>
            </w:r>
            <w:r w:rsidR="00CC4E8E">
              <w:rPr>
                <w:rFonts w:asciiTheme="minorHAnsi" w:hAnsiTheme="minorHAnsi" w:cstheme="minorHAnsi"/>
              </w:rPr>
              <w:t>artificial intelligence.</w:t>
            </w:r>
          </w:p>
          <w:p w:rsidRPr="00B0758C" w:rsidR="007C71C3" w:rsidP="00833209" w:rsidRDefault="007C71C3" w14:paraId="5A84ADD4" w14:textId="5C677D91">
            <w:pPr>
              <w:pStyle w:val="ListParagraph"/>
              <w:numPr>
                <w:ilvl w:val="0"/>
                <w:numId w:val="55"/>
              </w:numPr>
              <w:tabs>
                <w:tab w:val="left" w:pos="1280"/>
              </w:tabs>
              <w:spacing w:before="60" w:after="60"/>
              <w:cnfStyle w:val="000000000000" w:firstRow="0" w:lastRow="0" w:firstColumn="0" w:lastColumn="0" w:oddVBand="0" w:evenVBand="0" w:oddHBand="0" w:evenHBand="0" w:firstRowFirstColumn="0" w:firstRowLastColumn="0" w:lastRowFirstColumn="0" w:lastRowLastColumn="0"/>
              <w:rPr>
                <w:rFonts w:eastAsia="Calibri" w:asciiTheme="minorHAnsi" w:hAnsiTheme="minorHAnsi" w:cstheme="minorHAnsi"/>
                <w:szCs w:val="22"/>
              </w:rPr>
            </w:pPr>
            <w:r w:rsidRPr="00B0758C">
              <w:rPr>
                <w:rFonts w:asciiTheme="minorHAnsi" w:hAnsiTheme="minorHAnsi" w:cstheme="minorHAnsi"/>
              </w:rPr>
              <w:t>Continue</w:t>
            </w:r>
            <w:r w:rsidR="00551FC2">
              <w:rPr>
                <w:rFonts w:asciiTheme="minorHAnsi" w:hAnsiTheme="minorHAnsi" w:cstheme="minorHAnsi"/>
              </w:rPr>
              <w:t xml:space="preserve"> engag</w:t>
            </w:r>
            <w:r w:rsidR="001348C0">
              <w:rPr>
                <w:rFonts w:asciiTheme="minorHAnsi" w:hAnsiTheme="minorHAnsi" w:cstheme="minorHAnsi"/>
              </w:rPr>
              <w:t>ing</w:t>
            </w:r>
            <w:r w:rsidRPr="00B0758C">
              <w:rPr>
                <w:rFonts w:asciiTheme="minorHAnsi" w:hAnsiTheme="minorHAnsi" w:cstheme="minorHAnsi"/>
              </w:rPr>
              <w:t xml:space="preserve"> with the Department of Health</w:t>
            </w:r>
            <w:r w:rsidR="00CC4E8E">
              <w:rPr>
                <w:rFonts w:asciiTheme="minorHAnsi" w:hAnsiTheme="minorHAnsi" w:cstheme="minorHAnsi"/>
              </w:rPr>
              <w:t>, Disability and Ageing</w:t>
            </w:r>
            <w:r w:rsidRPr="00B0758C">
              <w:rPr>
                <w:rFonts w:asciiTheme="minorHAnsi" w:hAnsiTheme="minorHAnsi" w:cstheme="minorHAnsi"/>
              </w:rPr>
              <w:t xml:space="preserve"> to ensure systems and system support is fit-for-purpose</w:t>
            </w:r>
            <w:r w:rsidR="00BD4A79">
              <w:rPr>
                <w:rFonts w:asciiTheme="minorHAnsi" w:hAnsiTheme="minorHAnsi" w:cstheme="minorHAnsi"/>
              </w:rPr>
              <w:t>.</w:t>
            </w:r>
          </w:p>
        </w:tc>
      </w:tr>
      <w:tr w:rsidRPr="006F0CD3" w:rsidR="006F0CD3" w:rsidTr="0032259B" w14:paraId="55EA61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7" w:type="dxa"/>
            <w:tcBorders>
              <w:right w:val="nil"/>
            </w:tcBorders>
            <w:shd w:val="clear" w:color="auto" w:fill="F3E9F3" w:themeFill="accent3" w:themeFillTint="33"/>
            <w:tcMar>
              <w:left w:w="105" w:type="dxa"/>
              <w:right w:w="105" w:type="dxa"/>
            </w:tcMar>
          </w:tcPr>
          <w:p w:rsidRPr="00B0758C" w:rsidR="007C71C3" w:rsidP="00833209" w:rsidRDefault="000548EA" w14:paraId="6B0AA463" w14:textId="789B1B32">
            <w:pPr>
              <w:pStyle w:val="ListParagraph"/>
              <w:numPr>
                <w:ilvl w:val="0"/>
                <w:numId w:val="68"/>
              </w:numPr>
              <w:spacing w:before="60" w:after="60"/>
              <w:jc w:val="left"/>
              <w:rPr>
                <w:rFonts w:ascii="Calibri" w:hAnsi="Calibri" w:eastAsia="Calibri" w:cs="Calibri"/>
                <w:i w:val="0"/>
                <w:iCs w:val="0"/>
                <w:szCs w:val="22"/>
              </w:rPr>
            </w:pPr>
            <w:r w:rsidRPr="00D171E4">
              <w:rPr>
                <w:rFonts w:eastAsia="Calibri" w:asciiTheme="minorHAnsi" w:hAnsiTheme="minorHAnsi" w:cstheme="minorHAnsi"/>
                <w:i w:val="0"/>
                <w:iCs w:val="0"/>
              </w:rPr>
              <w:t>Failure to deliver</w:t>
            </w:r>
            <w:r w:rsidRPr="00D171E4" w:rsidR="007C71C3">
              <w:rPr>
                <w:rFonts w:eastAsia="Calibri" w:asciiTheme="minorHAnsi" w:hAnsiTheme="minorHAnsi" w:cstheme="minorHAnsi"/>
                <w:i w:val="0"/>
                <w:iCs w:val="0"/>
              </w:rPr>
              <w:t xml:space="preserve"> high quality, effective and timely outputs</w:t>
            </w:r>
          </w:p>
        </w:tc>
        <w:tc>
          <w:tcPr>
            <w:tcW w:w="5806" w:type="dxa"/>
            <w:tcBorders>
              <w:top w:val="nil"/>
              <w:left w:val="nil"/>
              <w:bottom w:val="nil"/>
              <w:right w:val="nil"/>
            </w:tcBorders>
            <w:shd w:val="clear" w:color="auto" w:fill="F3E9F3" w:themeFill="accent3" w:themeFillTint="33"/>
            <w:tcMar>
              <w:left w:w="105" w:type="dxa"/>
              <w:right w:w="105" w:type="dxa"/>
            </w:tcMar>
          </w:tcPr>
          <w:p w:rsidRPr="00B0758C" w:rsidR="007C71C3" w:rsidP="00833209" w:rsidRDefault="007C71C3" w14:paraId="6155964B" w14:textId="4E6411E6">
            <w:pPr>
              <w:pStyle w:val="ListParagraph"/>
              <w:numPr>
                <w:ilvl w:val="0"/>
                <w:numId w:val="56"/>
              </w:num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0758C">
              <w:rPr>
                <w:rFonts w:asciiTheme="minorHAnsi" w:hAnsiTheme="minorHAnsi" w:cstheme="minorHAnsi"/>
              </w:rPr>
              <w:t>Continue</w:t>
            </w:r>
            <w:r w:rsidR="00907BEA">
              <w:rPr>
                <w:rFonts w:asciiTheme="minorHAnsi" w:hAnsiTheme="minorHAnsi" w:cstheme="minorHAnsi"/>
              </w:rPr>
              <w:t xml:space="preserve"> to</w:t>
            </w:r>
            <w:r w:rsidRPr="00B0758C">
              <w:rPr>
                <w:rFonts w:asciiTheme="minorHAnsi" w:hAnsiTheme="minorHAnsi" w:cstheme="minorHAnsi"/>
              </w:rPr>
              <w:t xml:space="preserve"> focus on work planning, performance measures and monitoring output/s against plans.</w:t>
            </w:r>
          </w:p>
          <w:p w:rsidRPr="00B0758C" w:rsidR="007C71C3" w:rsidP="00833209" w:rsidRDefault="007C71C3" w14:paraId="125159B0" w14:textId="471C6EC8">
            <w:pPr>
              <w:pStyle w:val="ListParagraph"/>
              <w:numPr>
                <w:ilvl w:val="0"/>
                <w:numId w:val="56"/>
              </w:numPr>
              <w:spacing w:before="60" w:after="60"/>
              <w:cnfStyle w:val="000000100000" w:firstRow="0" w:lastRow="0" w:firstColumn="0" w:lastColumn="0" w:oddVBand="0" w:evenVBand="0" w:oddHBand="1" w:evenHBand="0" w:firstRowFirstColumn="0" w:firstRowLastColumn="0" w:lastRowFirstColumn="0" w:lastRowLastColumn="0"/>
              <w:rPr>
                <w:rFonts w:eastAsia="Calibri" w:asciiTheme="minorHAnsi" w:hAnsiTheme="minorHAnsi" w:cstheme="minorHAnsi"/>
                <w:szCs w:val="22"/>
              </w:rPr>
            </w:pPr>
            <w:r w:rsidRPr="00B0758C">
              <w:rPr>
                <w:rFonts w:asciiTheme="minorHAnsi" w:hAnsiTheme="minorHAnsi" w:cstheme="minorHAnsi"/>
              </w:rPr>
              <w:t xml:space="preserve">Support leadership and staff to enable teams to pivot as required to focus on other </w:t>
            </w:r>
            <w:r w:rsidR="00BD4A79">
              <w:rPr>
                <w:rFonts w:asciiTheme="minorHAnsi" w:hAnsiTheme="minorHAnsi" w:cstheme="minorHAnsi"/>
              </w:rPr>
              <w:t>work priorities.</w:t>
            </w:r>
          </w:p>
        </w:tc>
      </w:tr>
    </w:tbl>
    <w:p w:rsidRPr="0060187C" w:rsidR="00EC0BAC" w:rsidP="00CB78AA" w:rsidRDefault="00EC0BAC" w14:paraId="36973FEC" w14:textId="5A40725C">
      <w:pPr>
        <w:pStyle w:val="Heading2"/>
      </w:pPr>
      <w:bookmarkStart w:name="_Toc233626475" w:id="39"/>
      <w:r w:rsidRPr="0060187C">
        <w:t>Oversight and assurance</w:t>
      </w:r>
      <w:bookmarkEnd w:id="39"/>
    </w:p>
    <w:p w:rsidRPr="0060187C" w:rsidR="00EC0BAC" w:rsidP="00EC0BAC" w:rsidRDefault="00DF7C75" w14:paraId="2BC3A330" w14:textId="18F5CA5B">
      <w:r>
        <w:t>S</w:t>
      </w:r>
      <w:r w:rsidRPr="0060187C" w:rsidR="00EC0BAC">
        <w:t>trong corporate governance is essential to managing our strategic and operational activities. It supports us in achieving our purpose and delivering on our objectives.</w:t>
      </w:r>
    </w:p>
    <w:p w:rsidRPr="0060187C" w:rsidR="00EC0BAC" w:rsidP="00EC0BAC" w:rsidRDefault="00EC0BAC" w14:paraId="0B582CA0" w14:textId="421371D2">
      <w:r w:rsidRPr="0060187C">
        <w:t xml:space="preserve">Our independent Audit and Risk Committee </w:t>
      </w:r>
      <w:r w:rsidR="007912D8">
        <w:t>convenes</w:t>
      </w:r>
      <w:r w:rsidRPr="0060187C" w:rsidR="007912D8">
        <w:t xml:space="preserve"> </w:t>
      </w:r>
      <w:r w:rsidRPr="0060187C">
        <w:t xml:space="preserve">4 times </w:t>
      </w:r>
      <w:r w:rsidR="007912D8">
        <w:t>per</w:t>
      </w:r>
      <w:r w:rsidRPr="0060187C" w:rsidR="007912D8">
        <w:t xml:space="preserve"> </w:t>
      </w:r>
      <w:proofErr w:type="gramStart"/>
      <w:r w:rsidRPr="0060187C">
        <w:t>year</w:t>
      </w:r>
      <w:r w:rsidR="007912D8">
        <w:t>,</w:t>
      </w:r>
      <w:r w:rsidRPr="0060187C">
        <w:t xml:space="preserve"> and</w:t>
      </w:r>
      <w:proofErr w:type="gramEnd"/>
      <w:r w:rsidRPr="0060187C">
        <w:t xml:space="preserve"> is a key part of our governance </w:t>
      </w:r>
      <w:r w:rsidR="00521C5F">
        <w:t>structure</w:t>
      </w:r>
      <w:r w:rsidRPr="0060187C">
        <w:t>. The committee provides independent oversight and review of our risk management, financial management, performance reporting and assurance systems.</w:t>
      </w:r>
    </w:p>
    <w:p w:rsidR="00330A30" w:rsidRDefault="00330A30" w14:paraId="7174EB73" w14:textId="77777777">
      <w:pPr>
        <w:spacing w:before="0" w:after="0"/>
        <w:rPr>
          <w:rFonts w:eastAsiaTheme="majorEastAsia" w:cstheme="majorBidi"/>
          <w:b/>
          <w:bCs/>
          <w:color w:val="78226D" w:themeColor="accent4"/>
          <w:sz w:val="92"/>
          <w:szCs w:val="92"/>
        </w:rPr>
      </w:pPr>
      <w:r>
        <w:br w:type="page"/>
      </w:r>
    </w:p>
    <w:p w:rsidRPr="0060187C" w:rsidR="00EC0BAC" w:rsidP="00814AA2" w:rsidRDefault="00EC0BAC" w14:paraId="0DC1449F" w14:textId="77777777">
      <w:pPr>
        <w:pStyle w:val="Heading1"/>
      </w:pPr>
      <w:bookmarkStart w:name="_Toc222308738" w:id="40"/>
      <w:bookmarkStart w:name="_Toc233626476" w:id="41"/>
      <w:r w:rsidRPr="0060187C">
        <w:t>Cooperation</w:t>
      </w:r>
      <w:bookmarkEnd w:id="40"/>
      <w:bookmarkEnd w:id="41"/>
    </w:p>
    <w:p w:rsidRPr="0060187C" w:rsidR="00EC0BAC" w:rsidP="00EC0BAC" w:rsidRDefault="00EC0BAC" w14:paraId="198E5966" w14:textId="1AD1A279">
      <w:r w:rsidRPr="0060187C">
        <w:t>We operate independently and impartially, while maintaining respectful and professional working relationships with the agencies within our oversight scope, including:</w:t>
      </w:r>
    </w:p>
    <w:p w:rsidRPr="0060187C" w:rsidR="00EC0BAC" w:rsidP="00EC0BAC" w:rsidRDefault="00EC0BAC" w14:paraId="2B913B8E" w14:textId="3566F2CA">
      <w:pPr>
        <w:pStyle w:val="ListBullet"/>
      </w:pPr>
      <w:r w:rsidRPr="0060187C">
        <w:t>Department of Health, Disability and Ageing</w:t>
      </w:r>
    </w:p>
    <w:p w:rsidRPr="0060187C" w:rsidR="00EC0BAC" w:rsidP="00EC0BAC" w:rsidRDefault="00EC0BAC" w14:paraId="75900A5A" w14:textId="726CA0EE">
      <w:pPr>
        <w:pStyle w:val="ListBullet"/>
      </w:pPr>
      <w:r w:rsidRPr="0060187C">
        <w:t>Aged Care Quality and Safety Commission</w:t>
      </w:r>
    </w:p>
    <w:p w:rsidRPr="0060187C" w:rsidR="00EC0BAC" w:rsidP="00EC0BAC" w:rsidRDefault="00EC0BAC" w14:paraId="31EA08B8" w14:textId="497CECD3">
      <w:pPr>
        <w:pStyle w:val="ListBullet"/>
      </w:pPr>
      <w:r w:rsidRPr="0060187C">
        <w:t>Independent Health and Aged Care Pricing Authority.</w:t>
      </w:r>
    </w:p>
    <w:p w:rsidRPr="0060187C" w:rsidR="00EC0BAC" w:rsidP="00EC0BAC" w:rsidRDefault="00EC0BAC" w14:paraId="7A5D5594" w14:textId="17BF6D77">
      <w:r w:rsidRPr="0060187C">
        <w:t xml:space="preserve">While the Inspector-General has strong statutory powers to gather information, </w:t>
      </w:r>
      <w:r w:rsidRPr="0060187C" w:rsidR="73A43CAD">
        <w:t xml:space="preserve">our preference is to pursue </w:t>
      </w:r>
      <w:r w:rsidRPr="0060187C">
        <w:t>constructive and collaborative approaches to seeking information first. We aim to be practical in accessing information in a manner that is timely and secure.</w:t>
      </w:r>
    </w:p>
    <w:p w:rsidRPr="0060187C" w:rsidR="00EC0BAC" w:rsidP="00EC0BAC" w:rsidRDefault="00EC0BAC" w14:paraId="69A90DB1" w14:textId="14C5E88D">
      <w:r w:rsidRPr="0060187C">
        <w:t>These cooperative efforts, supported by open lines of communication where appropriate, assist us in monitoring, analysing, reviewing and reporting on the administration of the aged care system.</w:t>
      </w:r>
    </w:p>
    <w:p w:rsidRPr="0060187C" w:rsidR="00EC0BAC" w:rsidP="00EC0BAC" w:rsidRDefault="00EC0BAC" w14:paraId="6CDCD0E6" w14:textId="157F341E">
      <w:r w:rsidRPr="0060187C">
        <w:t>Our cooperative approach is guided by respect, transparency and the understanding that constructive approaches are best, while still maintaining our independence.</w:t>
      </w:r>
    </w:p>
    <w:p w:rsidRPr="0060187C" w:rsidR="00330A30" w:rsidP="00330A30" w:rsidRDefault="00330A30" w14:paraId="30A21BF1" w14:textId="77777777">
      <w:pPr>
        <w:pStyle w:val="Heading2"/>
      </w:pPr>
      <w:bookmarkStart w:name="_Toc233626477" w:id="42"/>
      <w:r w:rsidRPr="0060187C">
        <w:t>Our commitment to engagement</w:t>
      </w:r>
      <w:bookmarkEnd w:id="42"/>
    </w:p>
    <w:p w:rsidRPr="0060187C" w:rsidR="00330A30" w:rsidP="00330A30" w:rsidRDefault="00330A30" w14:paraId="5616B335" w14:textId="56BFB20A">
      <w:r w:rsidRPr="0060187C">
        <w:t xml:space="preserve">Building on our commitment to transparency, we actively engage with people and organisations </w:t>
      </w:r>
      <w:r w:rsidR="00794CD0">
        <w:t>across the aged care sector</w:t>
      </w:r>
      <w:r w:rsidRPr="0060187C">
        <w:t xml:space="preserve"> to inform and improve </w:t>
      </w:r>
      <w:r w:rsidR="00794CD0">
        <w:t>our work</w:t>
      </w:r>
      <w:r w:rsidRPr="0060187C">
        <w:t xml:space="preserve">. We listen to and learn from older people, their families, carers, </w:t>
      </w:r>
      <w:r w:rsidR="00B52A3D">
        <w:t xml:space="preserve">advocates, </w:t>
      </w:r>
      <w:r w:rsidRPr="0060187C">
        <w:t>aged care workers, providers and community representatives.</w:t>
      </w:r>
    </w:p>
    <w:p w:rsidRPr="0060187C" w:rsidR="00330A30" w:rsidP="00330A30" w:rsidRDefault="00330A30" w14:paraId="3FE5DD1C" w14:textId="5281E9D0">
      <w:r w:rsidRPr="0060187C">
        <w:t xml:space="preserve">We value the </w:t>
      </w:r>
      <w:r w:rsidR="00794CD0">
        <w:t>perspectives</w:t>
      </w:r>
      <w:r w:rsidRPr="0060187C">
        <w:t xml:space="preserve"> of people from all backgrounds, abilities, genders and sexual orientations, and are committed to </w:t>
      </w:r>
      <w:r w:rsidR="00501926">
        <w:t>en</w:t>
      </w:r>
      <w:r w:rsidRPr="0060187C">
        <w:t>sur</w:t>
      </w:r>
      <w:r w:rsidR="00501926">
        <w:t>ing</w:t>
      </w:r>
      <w:r w:rsidRPr="0060187C">
        <w:t xml:space="preserve"> our work reflects </w:t>
      </w:r>
      <w:r w:rsidR="00FB7A47">
        <w:t>and respects</w:t>
      </w:r>
      <w:r w:rsidRPr="0060187C">
        <w:t xml:space="preserve"> </w:t>
      </w:r>
      <w:r w:rsidR="00FB7A47">
        <w:t>the</w:t>
      </w:r>
      <w:r w:rsidRPr="0060187C">
        <w:t xml:space="preserve"> diversity of Australia’s population. This includes how we engage, communicate, </w:t>
      </w:r>
      <w:r w:rsidR="00685535">
        <w:t xml:space="preserve">determine our </w:t>
      </w:r>
      <w:r w:rsidR="00D2776C">
        <w:t>work program</w:t>
      </w:r>
      <w:r w:rsidRPr="0060187C">
        <w:t xml:space="preserve"> and share information.</w:t>
      </w:r>
    </w:p>
    <w:p w:rsidRPr="0060187C" w:rsidR="00330A30" w:rsidP="00330A30" w:rsidRDefault="00330A30" w14:paraId="70604161" w14:textId="51689BC0">
      <w:r w:rsidRPr="0060187C">
        <w:t xml:space="preserve">We </w:t>
      </w:r>
      <w:r w:rsidR="00330182">
        <w:t>actively seek to</w:t>
      </w:r>
      <w:r w:rsidRPr="0060187C">
        <w:t xml:space="preserve"> improve the accessibility of our materials by using plain language and offering information in a range of formats</w:t>
      </w:r>
      <w:r w:rsidR="00330182">
        <w:t xml:space="preserve"> across various communication channels</w:t>
      </w:r>
      <w:r w:rsidR="00B86D6C">
        <w:t>. This ensures</w:t>
      </w:r>
      <w:r w:rsidRPr="0060187C">
        <w:t xml:space="preserve"> more people can </w:t>
      </w:r>
      <w:r w:rsidR="004F1CD8">
        <w:t xml:space="preserve">be informed about, </w:t>
      </w:r>
      <w:r w:rsidRPr="0060187C">
        <w:t>participate in</w:t>
      </w:r>
      <w:r w:rsidR="004F1CD8">
        <w:t>,</w:t>
      </w:r>
      <w:r w:rsidRPr="0060187C">
        <w:t xml:space="preserve"> and benefit from our work.</w:t>
      </w:r>
    </w:p>
    <w:p w:rsidRPr="0060187C" w:rsidR="00330A30" w:rsidP="003B5111" w:rsidRDefault="00330A30" w14:paraId="506723E0" w14:textId="3752A02E">
      <w:r w:rsidRPr="0060187C">
        <w:t>Our engagement is guided by clear principles that support respectful, inclusive and meaningful participation:</w:t>
      </w:r>
    </w:p>
    <w:p w:rsidRPr="0060187C" w:rsidR="00330A30" w:rsidP="00B0758C" w:rsidRDefault="00330A30" w14:paraId="1FD82789" w14:textId="7E9EF006">
      <w:pPr>
        <w:pStyle w:val="ListNumber"/>
        <w:numPr>
          <w:ilvl w:val="0"/>
          <w:numId w:val="57"/>
        </w:numPr>
      </w:pPr>
      <w:r w:rsidRPr="00FB695B">
        <w:rPr>
          <w:rStyle w:val="Strong"/>
          <w:lang w:val="en-AU"/>
        </w:rPr>
        <w:t>Inclusive and fair engagement</w:t>
      </w:r>
      <w:r w:rsidRPr="0060187C">
        <w:t xml:space="preserve">: we listen to all </w:t>
      </w:r>
      <w:r w:rsidR="00F54BAE">
        <w:t>perspectives</w:t>
      </w:r>
      <w:r w:rsidRPr="0060187C">
        <w:t xml:space="preserve">, with a focus on older people </w:t>
      </w:r>
      <w:r w:rsidR="00DC2831">
        <w:t xml:space="preserve">with lived experience of </w:t>
      </w:r>
      <w:r w:rsidR="007D18ED">
        <w:t xml:space="preserve">the </w:t>
      </w:r>
      <w:r w:rsidR="00DC2831">
        <w:t xml:space="preserve">aged care </w:t>
      </w:r>
      <w:r w:rsidR="007D18ED">
        <w:t xml:space="preserve">system, including </w:t>
      </w:r>
      <w:r w:rsidRPr="0060187C">
        <w:t>those who</w:t>
      </w:r>
      <w:r w:rsidR="007D18ED">
        <w:t xml:space="preserve">se </w:t>
      </w:r>
      <w:r w:rsidR="00CB1129">
        <w:t>perspectives are less often</w:t>
      </w:r>
      <w:r w:rsidR="007D18ED">
        <w:t xml:space="preserve"> heard</w:t>
      </w:r>
      <w:r w:rsidRPr="0060187C">
        <w:t>.</w:t>
      </w:r>
    </w:p>
    <w:p w:rsidRPr="0060187C" w:rsidR="00330A30" w:rsidP="00330A30" w:rsidRDefault="00330A30" w14:paraId="42718078" w14:textId="53ADD037">
      <w:pPr>
        <w:pStyle w:val="ListNumber"/>
        <w:rPr>
          <w:lang w:val="en-AU"/>
        </w:rPr>
      </w:pPr>
      <w:r w:rsidRPr="0060187C">
        <w:rPr>
          <w:rStyle w:val="Strong"/>
          <w:lang w:val="en-AU"/>
        </w:rPr>
        <w:t>Accessible and respectful participation</w:t>
      </w:r>
      <w:r w:rsidRPr="0060187C">
        <w:rPr>
          <w:lang w:val="en-AU"/>
        </w:rPr>
        <w:t>: we use plain language, offer information in</w:t>
      </w:r>
      <w:r w:rsidR="00B01789">
        <w:rPr>
          <w:lang w:val="en-AU"/>
        </w:rPr>
        <w:t xml:space="preserve"> various</w:t>
      </w:r>
      <w:r w:rsidRPr="0060187C">
        <w:rPr>
          <w:lang w:val="en-AU"/>
        </w:rPr>
        <w:t xml:space="preserve"> formats</w:t>
      </w:r>
      <w:r w:rsidR="00FB695B">
        <w:rPr>
          <w:lang w:val="en-AU"/>
        </w:rPr>
        <w:t>,</w:t>
      </w:r>
      <w:r w:rsidRPr="0060187C">
        <w:rPr>
          <w:lang w:val="en-AU"/>
        </w:rPr>
        <w:t xml:space="preserve"> and adapt our approach to meet individual and cultural needs – in ways that are safe, inclusive and trauma informed.</w:t>
      </w:r>
    </w:p>
    <w:p w:rsidRPr="0060187C" w:rsidR="00330A30" w:rsidP="00330A30" w:rsidRDefault="00330A30" w14:paraId="175A634C" w14:textId="77777777">
      <w:pPr>
        <w:pStyle w:val="ListNumber"/>
        <w:rPr>
          <w:lang w:val="en-AU"/>
        </w:rPr>
      </w:pPr>
      <w:r w:rsidRPr="0060187C">
        <w:rPr>
          <w:rStyle w:val="Strong"/>
          <w:lang w:val="en-AU"/>
        </w:rPr>
        <w:t>Timely and purposeful engagement</w:t>
      </w:r>
      <w:r w:rsidRPr="0060187C">
        <w:rPr>
          <w:lang w:val="en-AU"/>
        </w:rPr>
        <w:t>: we engage early, give people time to prepare and clearly explain the purpose of each activity.</w:t>
      </w:r>
    </w:p>
    <w:p w:rsidRPr="0060187C" w:rsidR="00330A30" w:rsidP="00330A30" w:rsidRDefault="00330A30" w14:paraId="01A01D13" w14:textId="77777777">
      <w:pPr>
        <w:pStyle w:val="ListNumber"/>
        <w:rPr>
          <w:lang w:val="en-AU"/>
        </w:rPr>
      </w:pPr>
      <w:r w:rsidRPr="0060187C">
        <w:rPr>
          <w:rStyle w:val="Strong"/>
          <w:lang w:val="en-AU"/>
        </w:rPr>
        <w:t>Open communication and feedback</w:t>
      </w:r>
      <w:r w:rsidRPr="0060187C">
        <w:rPr>
          <w:lang w:val="en-AU"/>
        </w:rPr>
        <w:t>: we are open and transparent about how input will be used and share updates on decisions and outcomes.</w:t>
      </w:r>
    </w:p>
    <w:p w:rsidRPr="0060187C" w:rsidR="00330A30" w:rsidP="00330A30" w:rsidRDefault="00330A30" w14:paraId="768819CC" w14:textId="77777777">
      <w:pPr>
        <w:pStyle w:val="ListNumber"/>
        <w:rPr>
          <w:lang w:val="en-AU"/>
        </w:rPr>
      </w:pPr>
      <w:r w:rsidRPr="0060187C">
        <w:rPr>
          <w:rStyle w:val="Strong"/>
          <w:lang w:val="en-AU"/>
        </w:rPr>
        <w:t>Ongoing collaboration and learning</w:t>
      </w:r>
      <w:r w:rsidRPr="0060187C">
        <w:rPr>
          <w:lang w:val="en-AU"/>
        </w:rPr>
        <w:t>: we build long-term relationships and use what we learn to continually improve.</w:t>
      </w:r>
    </w:p>
    <w:p w:rsidRPr="0060187C" w:rsidR="00330A30" w:rsidP="00330A30" w:rsidRDefault="00330A30" w14:paraId="5E529448" w14:textId="278A639C">
      <w:r w:rsidRPr="0060187C">
        <w:t xml:space="preserve">For more detail, see our </w:t>
      </w:r>
      <w:hyperlink w:history="1" r:id="rId25">
        <w:r w:rsidRPr="0060187C">
          <w:rPr>
            <w:rStyle w:val="Hyperlink"/>
          </w:rPr>
          <w:t xml:space="preserve">Engagement </w:t>
        </w:r>
        <w:r w:rsidR="002C1BB1">
          <w:rPr>
            <w:rStyle w:val="Hyperlink"/>
          </w:rPr>
          <w:t>p</w:t>
        </w:r>
        <w:r w:rsidRPr="0060187C">
          <w:rPr>
            <w:rStyle w:val="Hyperlink"/>
          </w:rPr>
          <w:t xml:space="preserve">rinciples </w:t>
        </w:r>
        <w:r w:rsidR="002C1BB1">
          <w:rPr>
            <w:rStyle w:val="Hyperlink"/>
          </w:rPr>
          <w:t>in</w:t>
        </w:r>
        <w:r w:rsidRPr="0060187C">
          <w:rPr>
            <w:rStyle w:val="Hyperlink"/>
          </w:rPr>
          <w:t xml:space="preserve"> </w:t>
        </w:r>
        <w:r w:rsidR="002C1BB1">
          <w:rPr>
            <w:rStyle w:val="Hyperlink"/>
          </w:rPr>
          <w:t>p</w:t>
        </w:r>
        <w:r w:rsidRPr="0060187C">
          <w:rPr>
            <w:rStyle w:val="Hyperlink"/>
          </w:rPr>
          <w:t>ractice</w:t>
        </w:r>
      </w:hyperlink>
      <w:r w:rsidRPr="0060187C">
        <w:t>.</w:t>
      </w:r>
    </w:p>
    <w:p w:rsidRPr="0060187C" w:rsidR="00330A30" w:rsidP="00330A30" w:rsidRDefault="00330A30" w14:paraId="210F6633" w14:textId="4E19C198">
      <w:pPr>
        <w:pStyle w:val="Heading2"/>
      </w:pPr>
      <w:bookmarkStart w:name="_Toc233626478" w:id="43"/>
      <w:r w:rsidRPr="0060187C">
        <w:t xml:space="preserve">Partnering with </w:t>
      </w:r>
      <w:r w:rsidR="006511DE">
        <w:t>First Nations</w:t>
      </w:r>
      <w:r w:rsidRPr="0060187C">
        <w:t xml:space="preserve"> peoples</w:t>
      </w:r>
      <w:bookmarkEnd w:id="43"/>
    </w:p>
    <w:p w:rsidRPr="0060187C" w:rsidR="00330A30" w:rsidP="00330A30" w:rsidRDefault="00330A30" w14:paraId="66D07669" w14:textId="77777777">
      <w:r w:rsidRPr="0060187C">
        <w:t xml:space="preserve">Improving aged care in Australia cannot happen without learning from and working alongside Aboriginal and Torres Strait Islander peoples. </w:t>
      </w:r>
    </w:p>
    <w:p w:rsidRPr="0060187C" w:rsidR="00330A30" w:rsidP="00330A30" w:rsidRDefault="00330A30" w14:paraId="665B89B6" w14:textId="77777777">
      <w:r w:rsidRPr="0060187C">
        <w:t>For generations, they have modelled how to care for older people in ways that are grounded in connection, respect and intergenerational responsibility.</w:t>
      </w:r>
    </w:p>
    <w:p w:rsidRPr="0060187C" w:rsidR="00330A30" w:rsidP="00330A30" w:rsidRDefault="00330A30" w14:paraId="60BEF6B6" w14:textId="77777777">
      <w:r w:rsidRPr="0060187C">
        <w:t>We are committed to the National Agreement on Closing the Gap and to the principles of genuine engagement, deep listening, shared power and leadership. This is not a symbolic commitment but central to how we shape, deliver and report on our work – and we expect to be held to account for it.</w:t>
      </w:r>
    </w:p>
    <w:p w:rsidRPr="0060187C" w:rsidR="00330A30" w:rsidP="00330A30" w:rsidRDefault="00330A30" w14:paraId="190B9E07" w14:textId="5C2DF4D3">
      <w:r w:rsidRPr="0060187C">
        <w:t>We are proud to work in partnership with Aboriginal and Torres Strait Islander peoples, including through our close collaboration with the</w:t>
      </w:r>
      <w:r w:rsidR="00EC6EB3">
        <w:t xml:space="preserve"> office of the</w:t>
      </w:r>
      <w:r w:rsidRPr="0060187C">
        <w:t xml:space="preserve"> </w:t>
      </w:r>
      <w:r w:rsidR="00FB695B">
        <w:t xml:space="preserve">Interim </w:t>
      </w:r>
      <w:r w:rsidRPr="0060187C">
        <w:t>First Nations Aged Care Commissioner, to ensure cultural knowledge, lived experience and leadership inform every stage of our oversight.</w:t>
      </w:r>
    </w:p>
    <w:p w:rsidRPr="0060187C" w:rsidR="00330A30" w:rsidP="00330A30" w:rsidRDefault="004C6421" w14:paraId="1C5C5C72" w14:textId="62C4E838">
      <w:r w:rsidRPr="004C6421">
        <w:t xml:space="preserve">Our </w:t>
      </w:r>
      <w:hyperlink w:history="1" r:id="rId26">
        <w:r w:rsidRPr="0060187C" w:rsidR="00EC6EB3">
          <w:rPr>
            <w:rStyle w:val="Hyperlink"/>
          </w:rPr>
          <w:t>Statement of Commitment to the National Agreement on Closing the Gap</w:t>
        </w:r>
      </w:hyperlink>
      <w:r w:rsidRPr="004C6421">
        <w:t xml:space="preserve"> sets out </w:t>
      </w:r>
      <w:r w:rsidR="008B193E">
        <w:t xml:space="preserve">how we will enliven our responsibilities under </w:t>
      </w:r>
      <w:r w:rsidRPr="004C6421">
        <w:t>the National Agreement on Closing the Gap. It reflects our commitment to genuine partnership, shared decision-making and accountability, and recognises that improving aged care for First Nations people requires listening to, learning from and being led by their voices, knowledge and experience.</w:t>
      </w:r>
    </w:p>
    <w:p w:rsidRPr="00B0758C" w:rsidR="00EE75E3" w:rsidP="00EC0BAC" w:rsidRDefault="00EE75E3" w14:paraId="24845F3E" w14:textId="31DA1D5C">
      <w:r w:rsidRPr="00B0758C">
        <w:br w:type="page"/>
      </w:r>
    </w:p>
    <w:p w:rsidRPr="00B0758C" w:rsidR="00EE75E3" w:rsidP="002B1BD5" w:rsidRDefault="00EE75E3" w14:paraId="0B80B423" w14:textId="13A3DD0E">
      <w:pPr>
        <w:pStyle w:val="Heading1"/>
        <w:spacing w:before="120" w:after="120"/>
      </w:pPr>
      <w:bookmarkStart w:name="_Toc222308739" w:id="44"/>
      <w:bookmarkStart w:name="_Toc233626479" w:id="45"/>
      <w:r w:rsidRPr="00B0758C">
        <w:t>Performance</w:t>
      </w:r>
      <w:bookmarkEnd w:id="44"/>
      <w:bookmarkEnd w:id="45"/>
    </w:p>
    <w:p w:rsidRPr="002F0B3C" w:rsidR="00EC0BAC" w:rsidP="00814AA2" w:rsidRDefault="00C82CC7" w14:paraId="383FC464" w14:textId="5472646E">
      <w:bookmarkStart w:name="_Toc222308740" w:id="46"/>
      <w:r w:rsidRPr="002F0B3C">
        <w:t xml:space="preserve">The Office’s overarching goal is to achieve greater accountability and transparency in the aged care </w:t>
      </w:r>
      <w:proofErr w:type="gramStart"/>
      <w:r w:rsidRPr="002F0B3C">
        <w:t>sector, and</w:t>
      </w:r>
      <w:proofErr w:type="gramEnd"/>
      <w:r w:rsidRPr="002F0B3C">
        <w:t xml:space="preserve"> ultimately drive improvements in older peoples’ aged care experience</w:t>
      </w:r>
      <w:r w:rsidR="002F0B3C">
        <w:t xml:space="preserve"> in Australia</w:t>
      </w:r>
      <w:r w:rsidRPr="002F0B3C">
        <w:t>.</w:t>
      </w:r>
      <w:r w:rsidRPr="002F0B3C" w:rsidDel="008635A3" w:rsidR="008635A3">
        <w:t xml:space="preserve"> </w:t>
      </w:r>
      <w:bookmarkEnd w:id="46"/>
    </w:p>
    <w:p w:rsidRPr="0060187C" w:rsidR="005F2729" w:rsidP="003003EB" w:rsidRDefault="005F2729" w14:paraId="19718CF3" w14:textId="332B1F81">
      <w:pPr>
        <w:pStyle w:val="Heading2"/>
      </w:pPr>
      <w:bookmarkStart w:name="_Toc233626480" w:id="47"/>
      <w:r>
        <w:t>Performance measures</w:t>
      </w:r>
      <w:bookmarkEnd w:id="47"/>
    </w:p>
    <w:p w:rsidR="00EE75E3" w:rsidP="00EE75E3" w:rsidRDefault="00FA7D73" w14:paraId="79DE5992" w14:textId="732B6512">
      <w:r>
        <w:t>T</w:t>
      </w:r>
      <w:r w:rsidRPr="00814AA2" w:rsidR="00EC0BAC">
        <w:t xml:space="preserve">he performance measures </w:t>
      </w:r>
      <w:r>
        <w:t>used</w:t>
      </w:r>
      <w:r w:rsidRPr="003003EB" w:rsidR="00EC0BAC">
        <w:t xml:space="preserve"> to assess our key activities</w:t>
      </w:r>
      <w:r>
        <w:t xml:space="preserve"> are outlined in Table 2</w:t>
      </w:r>
      <w:r w:rsidRPr="003003EB" w:rsidR="00EC0BAC">
        <w:t>.</w:t>
      </w:r>
    </w:p>
    <w:p w:rsidRPr="003003EB" w:rsidR="00C66096" w:rsidP="00EE75E3" w:rsidRDefault="00C66096" w14:paraId="410FCD0B" w14:textId="1D0C62A4">
      <w:r w:rsidRPr="003003EB">
        <w:t>The measurement and assessment of the</w:t>
      </w:r>
      <w:r w:rsidR="00887D59">
        <w:t>se</w:t>
      </w:r>
      <w:r w:rsidRPr="003003EB">
        <w:t xml:space="preserve"> performance measures will be published in our 2026–27 annual performance statements.</w:t>
      </w:r>
    </w:p>
    <w:p w:rsidR="00294EA9" w:rsidP="00294EA9" w:rsidRDefault="00294EA9" w14:paraId="46BFBCF4" w14:textId="47D635BC">
      <w:pPr>
        <w:pStyle w:val="Caption"/>
        <w:keepNext/>
      </w:pPr>
      <w:r w:rsidRPr="0060187C">
        <w:t xml:space="preserve">Table </w:t>
      </w:r>
      <w:r w:rsidR="004149B0">
        <w:t>2</w:t>
      </w:r>
      <w:r w:rsidRPr="0060187C">
        <w:t xml:space="preserve">. Performance measures for </w:t>
      </w:r>
      <w:r w:rsidRPr="0060187C" w:rsidR="004149B0">
        <w:t>202</w:t>
      </w:r>
      <w:r w:rsidR="004149B0">
        <w:t>6</w:t>
      </w:r>
      <w:r w:rsidRPr="0060187C" w:rsidR="00EC0BAC">
        <w:t>–</w:t>
      </w:r>
      <w:r w:rsidRPr="0060187C" w:rsidR="004149B0">
        <w:t>2</w:t>
      </w:r>
      <w:r w:rsidR="004149B0">
        <w:t>7</w:t>
      </w:r>
      <w:r w:rsidRPr="0060187C" w:rsidR="004149B0">
        <w:t xml:space="preserve"> </w:t>
      </w:r>
      <w:r w:rsidRPr="0060187C" w:rsidR="00EC0BAC">
        <w:t xml:space="preserve">to </w:t>
      </w:r>
      <w:r w:rsidRPr="0060187C" w:rsidR="00C665C6">
        <w:t>202</w:t>
      </w:r>
      <w:r w:rsidR="00C665C6">
        <w:t>7</w:t>
      </w:r>
      <w:r w:rsidRPr="0060187C" w:rsidR="00EC0BAC">
        <w:t>–</w:t>
      </w:r>
      <w:r w:rsidR="00C665C6">
        <w:t>30</w:t>
      </w:r>
    </w:p>
    <w:tbl>
      <w:tblPr>
        <w:tblStyle w:val="Basictable"/>
        <w:tblW w:w="0" w:type="auto"/>
        <w:tblLook w:val="04A0" w:firstRow="1" w:lastRow="0" w:firstColumn="1" w:lastColumn="0" w:noHBand="0" w:noVBand="1"/>
      </w:tblPr>
      <w:tblGrid>
        <w:gridCol w:w="372"/>
        <w:gridCol w:w="2747"/>
        <w:gridCol w:w="4394"/>
        <w:gridCol w:w="1893"/>
      </w:tblGrid>
      <w:tr w:rsidRPr="0060187C" w:rsidR="00436741" w:rsidTr="00803819" w14:paraId="44768973" w14:textId="77777777">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78226D" w:themeFill="accent4"/>
          </w:tcPr>
          <w:p w:rsidRPr="0060187C" w:rsidR="00436741" w:rsidP="002B1BD5" w:rsidRDefault="00436741" w14:paraId="0319CD32" w14:textId="14E1222C">
            <w:pPr>
              <w:spacing w:after="60"/>
            </w:pPr>
          </w:p>
        </w:tc>
        <w:tc>
          <w:tcPr>
            <w:tcW w:w="2747" w:type="dxa"/>
            <w:shd w:val="clear" w:color="auto" w:fill="78226D" w:themeFill="accent4"/>
          </w:tcPr>
          <w:p w:rsidRPr="0060187C" w:rsidR="00436741" w:rsidP="002B1BD5" w:rsidRDefault="00436741" w14:paraId="0FE19909" w14:textId="77777777">
            <w:pPr>
              <w:spacing w:after="60"/>
              <w:cnfStyle w:val="100000000000" w:firstRow="1" w:lastRow="0" w:firstColumn="0" w:lastColumn="0" w:oddVBand="0" w:evenVBand="0" w:oddHBand="0" w:evenHBand="0" w:firstRowFirstColumn="0" w:firstRowLastColumn="0" w:lastRowFirstColumn="0" w:lastRowLastColumn="0"/>
            </w:pPr>
            <w:r w:rsidRPr="0060187C">
              <w:t>Key performance measure</w:t>
            </w:r>
          </w:p>
        </w:tc>
        <w:tc>
          <w:tcPr>
            <w:tcW w:w="4394" w:type="dxa"/>
            <w:shd w:val="clear" w:color="auto" w:fill="78226D" w:themeFill="accent4"/>
          </w:tcPr>
          <w:p w:rsidRPr="0060187C" w:rsidR="00436741" w:rsidP="002B1BD5" w:rsidRDefault="00436741" w14:paraId="5CB8A5A4" w14:textId="4CF5EADC">
            <w:pPr>
              <w:spacing w:after="60"/>
              <w:cnfStyle w:val="100000000000" w:firstRow="1" w:lastRow="0" w:firstColumn="0" w:lastColumn="0" w:oddVBand="0" w:evenVBand="0" w:oddHBand="0" w:evenHBand="0" w:firstRowFirstColumn="0" w:firstRowLastColumn="0" w:lastRowFirstColumn="0" w:lastRowLastColumn="0"/>
            </w:pPr>
            <w:r w:rsidRPr="0060187C">
              <w:t xml:space="preserve">Target </w:t>
            </w:r>
            <w:r w:rsidRPr="0060187C" w:rsidR="007C0B1C">
              <w:t>202</w:t>
            </w:r>
            <w:r w:rsidR="007C0B1C">
              <w:t>6</w:t>
            </w:r>
            <w:r w:rsidRPr="0060187C" w:rsidR="005866F5">
              <w:t>–</w:t>
            </w:r>
            <w:r w:rsidRPr="0060187C" w:rsidR="007C0B1C">
              <w:t>2</w:t>
            </w:r>
            <w:r w:rsidR="007C0B1C">
              <w:t>7</w:t>
            </w:r>
          </w:p>
        </w:tc>
        <w:tc>
          <w:tcPr>
            <w:tcW w:w="1893" w:type="dxa"/>
            <w:shd w:val="clear" w:color="auto" w:fill="78226D" w:themeFill="accent4"/>
          </w:tcPr>
          <w:p w:rsidRPr="0060187C" w:rsidR="00436741" w:rsidP="002B1BD5" w:rsidRDefault="00436741" w14:paraId="32B77E56" w14:textId="583E766D">
            <w:pPr>
              <w:spacing w:after="60"/>
              <w:cnfStyle w:val="100000000000" w:firstRow="1" w:lastRow="0" w:firstColumn="0" w:lastColumn="0" w:oddVBand="0" w:evenVBand="0" w:oddHBand="0" w:evenHBand="0" w:firstRowFirstColumn="0" w:firstRowLastColumn="0" w:lastRowFirstColumn="0" w:lastRowLastColumn="0"/>
            </w:pPr>
            <w:r w:rsidRPr="0060187C">
              <w:t xml:space="preserve">Target </w:t>
            </w:r>
            <w:r w:rsidRPr="0060187C" w:rsidR="007C0B1C">
              <w:t>202</w:t>
            </w:r>
            <w:r w:rsidR="007C0B1C">
              <w:t>7</w:t>
            </w:r>
            <w:r w:rsidRPr="0060187C" w:rsidR="005866F5">
              <w:t>–</w:t>
            </w:r>
            <w:r w:rsidR="007C0B1C">
              <w:t>30</w:t>
            </w:r>
          </w:p>
        </w:tc>
      </w:tr>
      <w:tr w:rsidRPr="0060187C" w:rsidR="00436741" w:rsidTr="00803819" w14:paraId="3E90F27E" w14:textId="77777777">
        <w:trPr>
          <w:trHeight w:val="498"/>
        </w:trPr>
        <w:tc>
          <w:tcPr>
            <w:cnfStyle w:val="001000000000" w:firstRow="0" w:lastRow="0" w:firstColumn="1" w:lastColumn="0" w:oddVBand="0" w:evenVBand="0" w:oddHBand="0" w:evenHBand="0" w:firstRowFirstColumn="0" w:firstRowLastColumn="0" w:lastRowFirstColumn="0" w:lastRowLastColumn="0"/>
            <w:tcW w:w="0" w:type="auto"/>
            <w:shd w:val="clear" w:color="auto" w:fill="F3E9F3" w:themeFill="accent3" w:themeFillTint="33"/>
          </w:tcPr>
          <w:p w:rsidRPr="0060187C" w:rsidR="00436741" w:rsidP="002B1BD5" w:rsidRDefault="00436741" w14:paraId="1283E350" w14:textId="77777777">
            <w:pPr>
              <w:spacing w:after="60"/>
            </w:pPr>
            <w:r w:rsidRPr="0060187C">
              <w:t>1</w:t>
            </w:r>
          </w:p>
        </w:tc>
        <w:tc>
          <w:tcPr>
            <w:tcW w:w="2747" w:type="dxa"/>
          </w:tcPr>
          <w:p w:rsidRPr="0060187C" w:rsidR="00436741" w:rsidP="002B1BD5" w:rsidRDefault="00EC0BAC" w14:paraId="68B42211" w14:textId="1DE995AA">
            <w:pPr>
              <w:spacing w:after="60"/>
              <w:cnfStyle w:val="000000000000" w:firstRow="0" w:lastRow="0" w:firstColumn="0" w:lastColumn="0" w:oddVBand="0" w:evenVBand="0" w:oddHBand="0" w:evenHBand="0" w:firstRowFirstColumn="0" w:firstRowLastColumn="0" w:lastRowFirstColumn="0" w:lastRowLastColumn="0"/>
            </w:pPr>
            <w:r w:rsidRPr="0060187C">
              <w:t xml:space="preserve">Maximise the influence of our work. Number of citations and/or references to the work of the </w:t>
            </w:r>
            <w:r w:rsidR="00AF2F7E">
              <w:t>O</w:t>
            </w:r>
            <w:r w:rsidRPr="0060187C">
              <w:t>ffice in parliamentary debates/forums, social media traffic and media/sector publications.</w:t>
            </w:r>
          </w:p>
        </w:tc>
        <w:tc>
          <w:tcPr>
            <w:tcW w:w="4394" w:type="dxa"/>
          </w:tcPr>
          <w:p w:rsidRPr="0060187C" w:rsidR="005866F5" w:rsidP="002B1BD5" w:rsidRDefault="005866F5" w14:paraId="6C057881" w14:textId="012BA4C6">
            <w:pPr>
              <w:pStyle w:val="ListBullet"/>
              <w:spacing w:after="60"/>
              <w:cnfStyle w:val="000000000000" w:firstRow="0" w:lastRow="0" w:firstColumn="0" w:lastColumn="0" w:oddVBand="0" w:evenVBand="0" w:oddHBand="0" w:evenHBand="0" w:firstRowFirstColumn="0" w:firstRowLastColumn="0" w:lastRowFirstColumn="0" w:lastRowLastColumn="0"/>
            </w:pPr>
            <w:r w:rsidRPr="0060187C">
              <w:t xml:space="preserve">200 media </w:t>
            </w:r>
            <w:proofErr w:type="gramStart"/>
            <w:r w:rsidRPr="0060187C">
              <w:t>mentions</w:t>
            </w:r>
            <w:proofErr w:type="gramEnd"/>
            <w:r w:rsidRPr="0060187C">
              <w:t xml:space="preserve"> per year</w:t>
            </w:r>
          </w:p>
          <w:p w:rsidRPr="0060187C" w:rsidR="005866F5" w:rsidP="002B1BD5" w:rsidRDefault="005866F5" w14:paraId="221C1046" w14:textId="3A41CEB4">
            <w:pPr>
              <w:pStyle w:val="ListBullet"/>
              <w:spacing w:after="60"/>
              <w:cnfStyle w:val="000000000000" w:firstRow="0" w:lastRow="0" w:firstColumn="0" w:lastColumn="0" w:oddVBand="0" w:evenVBand="0" w:oddHBand="0" w:evenHBand="0" w:firstRowFirstColumn="0" w:firstRowLastColumn="0" w:lastRowFirstColumn="0" w:lastRowLastColumn="0"/>
            </w:pPr>
            <w:r w:rsidRPr="0060187C">
              <w:t xml:space="preserve">1,000 </w:t>
            </w:r>
            <w:r w:rsidR="007E3E74">
              <w:t xml:space="preserve">new </w:t>
            </w:r>
            <w:r w:rsidR="005E28EC">
              <w:t>s</w:t>
            </w:r>
            <w:r w:rsidRPr="0060187C" w:rsidR="005E28EC">
              <w:t xml:space="preserve">ocial </w:t>
            </w:r>
            <w:r w:rsidR="005E28EC">
              <w:t>m</w:t>
            </w:r>
            <w:r w:rsidRPr="0060187C" w:rsidR="005E28EC">
              <w:t xml:space="preserve">edia </w:t>
            </w:r>
            <w:r w:rsidRPr="0060187C">
              <w:t>followers</w:t>
            </w:r>
          </w:p>
          <w:p w:rsidRPr="0060187C" w:rsidR="00436741" w:rsidP="002B1BD5" w:rsidRDefault="005866F5" w14:paraId="618BD43E" w14:textId="131A31BA">
            <w:pPr>
              <w:pStyle w:val="ListBullet"/>
              <w:spacing w:after="60"/>
              <w:cnfStyle w:val="000000000000" w:firstRow="0" w:lastRow="0" w:firstColumn="0" w:lastColumn="0" w:oddVBand="0" w:evenVBand="0" w:oddHBand="0" w:evenHBand="0" w:firstRowFirstColumn="0" w:firstRowLastColumn="0" w:lastRowFirstColumn="0" w:lastRowLastColumn="0"/>
            </w:pPr>
            <w:r w:rsidRPr="0060187C">
              <w:t>30 speeches and/or representation on external panel by the I</w:t>
            </w:r>
            <w:r w:rsidR="005E28EC">
              <w:t xml:space="preserve">nspector-General of Aged Care </w:t>
            </w:r>
            <w:r w:rsidRPr="0060187C">
              <w:t>or members of the executive</w:t>
            </w:r>
          </w:p>
        </w:tc>
        <w:tc>
          <w:tcPr>
            <w:tcW w:w="1893" w:type="dxa"/>
          </w:tcPr>
          <w:p w:rsidRPr="0060187C" w:rsidR="00436741" w:rsidP="002B1BD5" w:rsidRDefault="005866F5" w14:paraId="4C5A4835" w14:textId="69A0A923">
            <w:pPr>
              <w:spacing w:after="60"/>
              <w:cnfStyle w:val="000000000000" w:firstRow="0" w:lastRow="0" w:firstColumn="0" w:lastColumn="0" w:oddVBand="0" w:evenVBand="0" w:oddHBand="0" w:evenHBand="0" w:firstRowFirstColumn="0" w:firstRowLastColumn="0" w:lastRowFirstColumn="0" w:lastRowLastColumn="0"/>
            </w:pPr>
            <w:r w:rsidRPr="0060187C">
              <w:t>Reasonable increased growth year on year</w:t>
            </w:r>
          </w:p>
        </w:tc>
      </w:tr>
      <w:tr w:rsidRPr="0060187C" w:rsidR="00436741" w:rsidTr="00803819" w14:paraId="4B308AF9" w14:textId="77777777">
        <w:trPr>
          <w:trHeight w:val="737"/>
        </w:trPr>
        <w:tc>
          <w:tcPr>
            <w:cnfStyle w:val="001000000000" w:firstRow="0" w:lastRow="0" w:firstColumn="1" w:lastColumn="0" w:oddVBand="0" w:evenVBand="0" w:oddHBand="0" w:evenHBand="0" w:firstRowFirstColumn="0" w:firstRowLastColumn="0" w:lastRowFirstColumn="0" w:lastRowLastColumn="0"/>
            <w:tcW w:w="0" w:type="auto"/>
            <w:shd w:val="clear" w:color="auto" w:fill="F3E9F3" w:themeFill="accent3" w:themeFillTint="33"/>
          </w:tcPr>
          <w:p w:rsidRPr="0060187C" w:rsidR="00436741" w:rsidP="002B1BD5" w:rsidRDefault="00436741" w14:paraId="59B3B26D" w14:textId="77777777">
            <w:pPr>
              <w:spacing w:after="60"/>
            </w:pPr>
            <w:r w:rsidRPr="0060187C">
              <w:t>2</w:t>
            </w:r>
          </w:p>
        </w:tc>
        <w:tc>
          <w:tcPr>
            <w:tcW w:w="2747" w:type="dxa"/>
          </w:tcPr>
          <w:p w:rsidRPr="0060187C" w:rsidR="00436741" w:rsidP="002B1BD5" w:rsidRDefault="00EC0BAC" w14:paraId="5DD0D397" w14:textId="1BC836B7">
            <w:pPr>
              <w:spacing w:after="60"/>
              <w:cnfStyle w:val="000000000000" w:firstRow="0" w:lastRow="0" w:firstColumn="0" w:lastColumn="0" w:oddVBand="0" w:evenVBand="0" w:oddHBand="0" w:evenHBand="0" w:firstRowFirstColumn="0" w:firstRowLastColumn="0" w:lastRowFirstColumn="0" w:lastRowLastColumn="0"/>
            </w:pPr>
            <w:r w:rsidRPr="0060187C">
              <w:t xml:space="preserve">Proportion of publications, products and activities that draw on </w:t>
            </w:r>
            <w:proofErr w:type="gramStart"/>
            <w:r w:rsidRPr="0060187C">
              <w:t>people’s</w:t>
            </w:r>
            <w:proofErr w:type="gramEnd"/>
            <w:r w:rsidRPr="0060187C">
              <w:t xml:space="preserve"> lived experience</w:t>
            </w:r>
          </w:p>
        </w:tc>
        <w:tc>
          <w:tcPr>
            <w:tcW w:w="4394" w:type="dxa"/>
          </w:tcPr>
          <w:p w:rsidRPr="0060187C" w:rsidR="005866F5" w:rsidP="002B1BD5" w:rsidRDefault="005866F5" w14:paraId="2F6AC3B2" w14:textId="65C81FD3">
            <w:pPr>
              <w:pStyle w:val="ListBullet"/>
              <w:spacing w:after="60"/>
              <w:cnfStyle w:val="000000000000" w:firstRow="0" w:lastRow="0" w:firstColumn="0" w:lastColumn="0" w:oddVBand="0" w:evenVBand="0" w:oddHBand="0" w:evenHBand="0" w:firstRowFirstColumn="0" w:firstRowLastColumn="0" w:lastRowFirstColumn="0" w:lastRowLastColumn="0"/>
            </w:pPr>
            <w:r w:rsidRPr="0060187C">
              <w:t>Engage with active lived experience advisory groups quarterly</w:t>
            </w:r>
          </w:p>
          <w:p w:rsidRPr="0060187C" w:rsidR="005866F5" w:rsidP="002B1BD5" w:rsidRDefault="005866F5" w14:paraId="5D1EF295" w14:textId="424A2641">
            <w:pPr>
              <w:pStyle w:val="ListBullet"/>
              <w:spacing w:after="60"/>
              <w:cnfStyle w:val="000000000000" w:firstRow="0" w:lastRow="0" w:firstColumn="0" w:lastColumn="0" w:oddVBand="0" w:evenVBand="0" w:oddHBand="0" w:evenHBand="0" w:firstRowFirstColumn="0" w:firstRowLastColumn="0" w:lastRowFirstColumn="0" w:lastRowLastColumn="0"/>
            </w:pPr>
            <w:r w:rsidRPr="0060187C">
              <w:t xml:space="preserve">80% of </w:t>
            </w:r>
            <w:r w:rsidR="007E3E74">
              <w:t>l</w:t>
            </w:r>
            <w:r w:rsidRPr="0060187C" w:rsidR="007E3E74">
              <w:t xml:space="preserve">ived </w:t>
            </w:r>
            <w:r w:rsidRPr="0060187C">
              <w:t xml:space="preserve">experience participants report positive engagement and reflection of their views in the </w:t>
            </w:r>
            <w:r w:rsidR="004866E4">
              <w:t>biennial</w:t>
            </w:r>
            <w:r w:rsidRPr="0060187C" w:rsidR="004866E4">
              <w:t xml:space="preserve"> </w:t>
            </w:r>
            <w:r w:rsidRPr="0060187C">
              <w:t>stakeholder engagement review</w:t>
            </w:r>
          </w:p>
          <w:p w:rsidRPr="0060187C" w:rsidR="00436741" w:rsidP="002B1BD5" w:rsidRDefault="005866F5" w14:paraId="2F523973" w14:textId="058C8D12">
            <w:pPr>
              <w:pStyle w:val="ListBullet"/>
              <w:spacing w:after="60"/>
              <w:cnfStyle w:val="000000000000" w:firstRow="0" w:lastRow="0" w:firstColumn="0" w:lastColumn="0" w:oddVBand="0" w:evenVBand="0" w:oddHBand="0" w:evenHBand="0" w:firstRowFirstColumn="0" w:firstRowLastColumn="0" w:lastRowFirstColumn="0" w:lastRowLastColumn="0"/>
            </w:pPr>
            <w:r w:rsidRPr="0060187C">
              <w:t xml:space="preserve">80% of surveyed stakeholders from Aboriginal and Torres Strait Islander communities and CALD communities report positive engagement and reflection of their views in the </w:t>
            </w:r>
            <w:r w:rsidR="004866E4">
              <w:t>biennial</w:t>
            </w:r>
            <w:r w:rsidRPr="0060187C" w:rsidR="004866E4">
              <w:t xml:space="preserve"> </w:t>
            </w:r>
            <w:r w:rsidRPr="0060187C">
              <w:t>stakeholder engagement review</w:t>
            </w:r>
          </w:p>
        </w:tc>
        <w:tc>
          <w:tcPr>
            <w:tcW w:w="1893" w:type="dxa"/>
          </w:tcPr>
          <w:p w:rsidRPr="0060187C" w:rsidR="00436741" w:rsidP="002B1BD5" w:rsidRDefault="005866F5" w14:paraId="0072B258" w14:textId="754AAEBA">
            <w:pPr>
              <w:spacing w:after="60"/>
              <w:cnfStyle w:val="000000000000" w:firstRow="0" w:lastRow="0" w:firstColumn="0" w:lastColumn="0" w:oddVBand="0" w:evenVBand="0" w:oddHBand="0" w:evenHBand="0" w:firstRowFirstColumn="0" w:firstRowLastColumn="0" w:lastRowFirstColumn="0" w:lastRowLastColumn="0"/>
            </w:pPr>
            <w:r w:rsidRPr="0060187C">
              <w:t xml:space="preserve">As per </w:t>
            </w:r>
            <w:r w:rsidRPr="0060187C" w:rsidR="007C0B1C">
              <w:t>202</w:t>
            </w:r>
            <w:r w:rsidR="007C0B1C">
              <w:t>6</w:t>
            </w:r>
            <w:r w:rsidRPr="0060187C">
              <w:t>–</w:t>
            </w:r>
            <w:r w:rsidRPr="0060187C" w:rsidR="007C0B1C">
              <w:t>2</w:t>
            </w:r>
            <w:r w:rsidR="007C0B1C">
              <w:t>7</w:t>
            </w:r>
          </w:p>
        </w:tc>
      </w:tr>
      <w:tr w:rsidRPr="0060187C" w:rsidR="00436741" w:rsidTr="00803819" w14:paraId="14FB216D" w14:textId="77777777">
        <w:trPr>
          <w:trHeight w:val="737"/>
        </w:trPr>
        <w:tc>
          <w:tcPr>
            <w:cnfStyle w:val="001000000000" w:firstRow="0" w:lastRow="0" w:firstColumn="1" w:lastColumn="0" w:oddVBand="0" w:evenVBand="0" w:oddHBand="0" w:evenHBand="0" w:firstRowFirstColumn="0" w:firstRowLastColumn="0" w:lastRowFirstColumn="0" w:lastRowLastColumn="0"/>
            <w:tcW w:w="0" w:type="auto"/>
            <w:shd w:val="clear" w:color="auto" w:fill="F3E9F3" w:themeFill="accent3" w:themeFillTint="33"/>
          </w:tcPr>
          <w:p w:rsidRPr="0060187C" w:rsidR="00436741" w:rsidP="002B1BD5" w:rsidRDefault="00436741" w14:paraId="2050445B" w14:textId="77777777">
            <w:pPr>
              <w:spacing w:after="60"/>
            </w:pPr>
            <w:r w:rsidRPr="0060187C">
              <w:t>3</w:t>
            </w:r>
          </w:p>
        </w:tc>
        <w:tc>
          <w:tcPr>
            <w:tcW w:w="2747" w:type="dxa"/>
          </w:tcPr>
          <w:p w:rsidRPr="0060187C" w:rsidR="00436741" w:rsidP="002B1BD5" w:rsidRDefault="00EC0BAC" w14:paraId="425B2A74" w14:textId="2538CBC7">
            <w:pPr>
              <w:spacing w:after="60"/>
              <w:cnfStyle w:val="000000000000" w:firstRow="0" w:lastRow="0" w:firstColumn="0" w:lastColumn="0" w:oddVBand="0" w:evenVBand="0" w:oddHBand="0" w:evenHBand="0" w:firstRowFirstColumn="0" w:firstRowLastColumn="0" w:lastRowFirstColumn="0" w:lastRowLastColumn="0"/>
            </w:pPr>
            <w:r w:rsidRPr="0060187C">
              <w:t>Effective stakeholder engagement with relevant committees, advisory bodies, agencies, organisations and the public</w:t>
            </w:r>
          </w:p>
        </w:tc>
        <w:tc>
          <w:tcPr>
            <w:tcW w:w="4394" w:type="dxa"/>
          </w:tcPr>
          <w:p w:rsidRPr="0060187C" w:rsidR="005866F5" w:rsidP="002B1BD5" w:rsidRDefault="005866F5" w14:paraId="3A617EB2" w14:textId="0950B74F">
            <w:pPr>
              <w:pStyle w:val="ListBullet"/>
              <w:spacing w:after="60"/>
              <w:cnfStyle w:val="000000000000" w:firstRow="0" w:lastRow="0" w:firstColumn="0" w:lastColumn="0" w:oddVBand="0" w:evenVBand="0" w:oddHBand="0" w:evenHBand="0" w:firstRowFirstColumn="0" w:firstRowLastColumn="0" w:lastRowFirstColumn="0" w:lastRowLastColumn="0"/>
            </w:pPr>
            <w:r w:rsidRPr="0060187C">
              <w:t>Biennial increase in stakeholder awareness scores from targeted surveys across aged care providers, advocacy groups, and the public.</w:t>
            </w:r>
          </w:p>
          <w:p w:rsidRPr="0060187C" w:rsidR="00436741" w:rsidP="002B1BD5" w:rsidRDefault="005866F5" w14:paraId="3E788459" w14:textId="2D967C1F">
            <w:pPr>
              <w:pStyle w:val="ListBullet"/>
              <w:spacing w:after="60"/>
              <w:cnfStyle w:val="000000000000" w:firstRow="0" w:lastRow="0" w:firstColumn="0" w:lastColumn="0" w:oddVBand="0" w:evenVBand="0" w:oddHBand="0" w:evenHBand="0" w:firstRowFirstColumn="0" w:firstRowLastColumn="0" w:lastRowFirstColumn="0" w:lastRowLastColumn="0"/>
            </w:pPr>
            <w:r w:rsidRPr="0060187C">
              <w:t>70% of respondents to surveys report hearing heard and valued</w:t>
            </w:r>
          </w:p>
        </w:tc>
        <w:tc>
          <w:tcPr>
            <w:tcW w:w="1893" w:type="dxa"/>
          </w:tcPr>
          <w:p w:rsidRPr="0060187C" w:rsidR="00436741" w:rsidP="002B1BD5" w:rsidRDefault="005866F5" w14:paraId="13AAA7FC" w14:textId="764C5F41">
            <w:pPr>
              <w:spacing w:after="60"/>
              <w:cnfStyle w:val="000000000000" w:firstRow="0" w:lastRow="0" w:firstColumn="0" w:lastColumn="0" w:oddVBand="0" w:evenVBand="0" w:oddHBand="0" w:evenHBand="0" w:firstRowFirstColumn="0" w:firstRowLastColumn="0" w:lastRowFirstColumn="0" w:lastRowLastColumn="0"/>
            </w:pPr>
            <w:r w:rsidRPr="0060187C">
              <w:t>Reasonable increases biennially</w:t>
            </w:r>
          </w:p>
        </w:tc>
      </w:tr>
      <w:tr w:rsidRPr="0060187C" w:rsidR="00436741" w:rsidTr="00803819" w14:paraId="34462D2A" w14:textId="77777777">
        <w:trPr>
          <w:trHeight w:val="737"/>
        </w:trPr>
        <w:tc>
          <w:tcPr>
            <w:cnfStyle w:val="001000000000" w:firstRow="0" w:lastRow="0" w:firstColumn="1" w:lastColumn="0" w:oddVBand="0" w:evenVBand="0" w:oddHBand="0" w:evenHBand="0" w:firstRowFirstColumn="0" w:firstRowLastColumn="0" w:lastRowFirstColumn="0" w:lastRowLastColumn="0"/>
            <w:tcW w:w="0" w:type="auto"/>
            <w:shd w:val="clear" w:color="auto" w:fill="F3E9F3" w:themeFill="accent3" w:themeFillTint="33"/>
          </w:tcPr>
          <w:p w:rsidRPr="0060187C" w:rsidR="00436741" w:rsidP="002B1BD5" w:rsidRDefault="00436741" w14:paraId="013E12E4" w14:textId="77777777">
            <w:pPr>
              <w:spacing w:after="60"/>
            </w:pPr>
            <w:r w:rsidRPr="0060187C">
              <w:t>4</w:t>
            </w:r>
          </w:p>
        </w:tc>
        <w:tc>
          <w:tcPr>
            <w:tcW w:w="2747" w:type="dxa"/>
          </w:tcPr>
          <w:p w:rsidRPr="0060187C" w:rsidR="00436741" w:rsidP="002B1BD5" w:rsidRDefault="00EC0BAC" w14:paraId="45676276" w14:textId="486BABB1">
            <w:pPr>
              <w:spacing w:after="60"/>
              <w:cnfStyle w:val="000000000000" w:firstRow="0" w:lastRow="0" w:firstColumn="0" w:lastColumn="0" w:oddVBand="0" w:evenVBand="0" w:oddHBand="0" w:evenHBand="0" w:firstRowFirstColumn="0" w:firstRowLastColumn="0" w:lastRowFirstColumn="0" w:lastRowLastColumn="0"/>
            </w:pPr>
            <w:r w:rsidRPr="0060187C">
              <w:t>Number of publications, products and activities generated by the Office that identify systemic issues and/or opportunities for sector-wide improvements</w:t>
            </w:r>
          </w:p>
        </w:tc>
        <w:tc>
          <w:tcPr>
            <w:tcW w:w="4394" w:type="dxa"/>
          </w:tcPr>
          <w:p w:rsidRPr="0060187C" w:rsidR="00436741" w:rsidP="002B1BD5" w:rsidRDefault="005866F5" w14:paraId="2A391419" w14:textId="16CDBABE">
            <w:pPr>
              <w:spacing w:after="60"/>
              <w:cnfStyle w:val="000000000000" w:firstRow="0" w:lastRow="0" w:firstColumn="0" w:lastColumn="0" w:oddVBand="0" w:evenVBand="0" w:oddHBand="0" w:evenHBand="0" w:firstRowFirstColumn="0" w:firstRowLastColumn="0" w:lastRowFirstColumn="0" w:lastRowLastColumn="0"/>
            </w:pPr>
            <w:r w:rsidRPr="0060187C">
              <w:t>Tally of the outputs show 80% identify systemic issues and/or discuss opportunities for sector-wide improvement</w:t>
            </w:r>
          </w:p>
        </w:tc>
        <w:tc>
          <w:tcPr>
            <w:tcW w:w="1893" w:type="dxa"/>
          </w:tcPr>
          <w:p w:rsidRPr="0060187C" w:rsidR="00436741" w:rsidP="002B1BD5" w:rsidRDefault="005866F5" w14:paraId="2B2B3969" w14:textId="14D1AEB7">
            <w:pPr>
              <w:spacing w:after="60"/>
              <w:cnfStyle w:val="000000000000" w:firstRow="0" w:lastRow="0" w:firstColumn="0" w:lastColumn="0" w:oddVBand="0" w:evenVBand="0" w:oddHBand="0" w:evenHBand="0" w:firstRowFirstColumn="0" w:firstRowLastColumn="0" w:lastRowFirstColumn="0" w:lastRowLastColumn="0"/>
            </w:pPr>
            <w:r w:rsidRPr="0060187C">
              <w:t xml:space="preserve">As per </w:t>
            </w:r>
            <w:r w:rsidRPr="0060187C" w:rsidR="007E3E74">
              <w:t>202</w:t>
            </w:r>
            <w:r w:rsidR="007E3E74">
              <w:t>6</w:t>
            </w:r>
            <w:r w:rsidRPr="0060187C">
              <w:t>–</w:t>
            </w:r>
            <w:r w:rsidRPr="0060187C" w:rsidR="007E3E74">
              <w:t>2</w:t>
            </w:r>
            <w:r w:rsidR="007E3E74">
              <w:t>7</w:t>
            </w:r>
          </w:p>
        </w:tc>
      </w:tr>
    </w:tbl>
    <w:p w:rsidR="00F17A73" w:rsidP="003003EB" w:rsidRDefault="001A3E5E" w14:paraId="328A1C70" w14:textId="38EBD4F6">
      <w:pPr>
        <w:pStyle w:val="Heading3"/>
      </w:pPr>
      <w:r>
        <w:t>Measure type</w:t>
      </w:r>
    </w:p>
    <w:p w:rsidR="001A3E5E" w:rsidP="00A77444" w:rsidRDefault="00252984" w14:paraId="46FE8184" w14:textId="5101F56A">
      <w:r>
        <w:t>The achievement of our performance measures will largely be determined by quantitative assessment.</w:t>
      </w:r>
      <w:r w:rsidR="00DC345B">
        <w:t xml:space="preserve"> As outlined in Table 1, clear targets have been set for each performance measur</w:t>
      </w:r>
      <w:r w:rsidR="006A3598">
        <w:t>e.</w:t>
      </w:r>
    </w:p>
    <w:p w:rsidR="004B2866" w:rsidP="003003EB" w:rsidRDefault="004B2866" w14:paraId="1DCA5AC4" w14:textId="33174B4A">
      <w:pPr>
        <w:pStyle w:val="Heading3"/>
      </w:pPr>
      <w:r>
        <w:t>Rationale/context</w:t>
      </w:r>
    </w:p>
    <w:p w:rsidR="004B2866" w:rsidP="00A77444" w:rsidRDefault="000E4E2F" w14:paraId="0A179569" w14:textId="221ED717">
      <w:r>
        <w:t xml:space="preserve">Each of the 4 performance measures for 2026-27 </w:t>
      </w:r>
      <w:r w:rsidR="0099504D">
        <w:t xml:space="preserve">align </w:t>
      </w:r>
      <w:r>
        <w:t xml:space="preserve">with the objectives outlined in </w:t>
      </w:r>
      <w:r w:rsidR="00045AA3">
        <w:t>our</w:t>
      </w:r>
      <w:r>
        <w:t xml:space="preserve"> </w:t>
      </w:r>
      <w:hyperlink w:history="1" w:anchor="_Our_Strategic_Framework">
        <w:r w:rsidR="005360E4">
          <w:rPr>
            <w:rStyle w:val="Hyperlink"/>
          </w:rPr>
          <w:t>S</w:t>
        </w:r>
        <w:r w:rsidRPr="00045AA3">
          <w:rPr>
            <w:rStyle w:val="Hyperlink"/>
          </w:rPr>
          <w:t xml:space="preserve">trategic </w:t>
        </w:r>
        <w:r w:rsidR="005360E4">
          <w:rPr>
            <w:rStyle w:val="Hyperlink"/>
          </w:rPr>
          <w:t>F</w:t>
        </w:r>
        <w:r w:rsidRPr="00045AA3">
          <w:rPr>
            <w:rStyle w:val="Hyperlink"/>
          </w:rPr>
          <w:t>ramework</w:t>
        </w:r>
      </w:hyperlink>
      <w:r>
        <w:t xml:space="preserve">. </w:t>
      </w:r>
      <w:r w:rsidR="00FA7D73">
        <w:t>Table 3</w:t>
      </w:r>
      <w:r>
        <w:t xml:space="preserve"> maps the measures against these objectives.</w:t>
      </w:r>
    </w:p>
    <w:p w:rsidR="00AD2439" w:rsidP="00AD2439" w:rsidRDefault="00AD2439" w14:paraId="15F51649" w14:textId="18B28103">
      <w:pPr>
        <w:pStyle w:val="Caption"/>
        <w:keepNext/>
      </w:pPr>
      <w:r w:rsidRPr="0060187C">
        <w:t xml:space="preserve">Table </w:t>
      </w:r>
      <w:r>
        <w:t>3</w:t>
      </w:r>
      <w:r w:rsidRPr="0060187C">
        <w:t>. Performance measures for 202</w:t>
      </w:r>
      <w:r>
        <w:t>6</w:t>
      </w:r>
      <w:r w:rsidRPr="0060187C">
        <w:t>–2</w:t>
      </w:r>
      <w:r>
        <w:t>7</w:t>
      </w:r>
      <w:r w:rsidRPr="0060187C">
        <w:t xml:space="preserve"> </w:t>
      </w:r>
      <w:r w:rsidR="00CE09D1">
        <w:t>mapped against strategic objectives</w:t>
      </w:r>
    </w:p>
    <w:tbl>
      <w:tblPr>
        <w:tblStyle w:val="Basictable"/>
        <w:tblW w:w="0" w:type="auto"/>
        <w:tblLook w:val="04A0" w:firstRow="1" w:lastRow="0" w:firstColumn="1" w:lastColumn="0" w:noHBand="0" w:noVBand="1"/>
      </w:tblPr>
      <w:tblGrid>
        <w:gridCol w:w="4111"/>
        <w:gridCol w:w="5295"/>
      </w:tblGrid>
      <w:tr w:rsidRPr="004C716F" w:rsidR="00887D59" w:rsidTr="003003EB" w14:paraId="0ACBEF2A" w14:textId="77777777">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4111" w:type="dxa"/>
            <w:shd w:val="clear" w:color="auto" w:fill="78226D" w:themeFill="accent4"/>
          </w:tcPr>
          <w:p w:rsidRPr="003003EB" w:rsidR="00887D59" w:rsidP="003003EB" w:rsidRDefault="00E235D7" w14:paraId="2CF2E990" w14:textId="2F4C2C3A">
            <w:pPr>
              <w:spacing w:after="60"/>
              <w:jc w:val="left"/>
              <w:rPr>
                <w:rFonts w:asciiTheme="minorHAnsi" w:hAnsiTheme="minorHAnsi" w:cstheme="minorHAnsi"/>
                <w:sz w:val="24"/>
                <w:szCs w:val="24"/>
              </w:rPr>
            </w:pPr>
            <w:r w:rsidRPr="003003EB">
              <w:rPr>
                <w:rFonts w:asciiTheme="minorHAnsi" w:hAnsiTheme="minorHAnsi" w:cstheme="minorHAnsi"/>
                <w:sz w:val="24"/>
                <w:szCs w:val="24"/>
              </w:rPr>
              <w:t>Performance measure</w:t>
            </w:r>
          </w:p>
        </w:tc>
        <w:tc>
          <w:tcPr>
            <w:tcW w:w="5295" w:type="dxa"/>
            <w:shd w:val="clear" w:color="auto" w:fill="78226D" w:themeFill="accent4"/>
          </w:tcPr>
          <w:p w:rsidRPr="003003EB" w:rsidR="00887D59" w:rsidP="000A4463" w:rsidRDefault="00E235D7" w14:paraId="7DF7141F" w14:textId="2DE89D47">
            <w:pPr>
              <w:spacing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003EB">
              <w:rPr>
                <w:rFonts w:asciiTheme="minorHAnsi" w:hAnsiTheme="minorHAnsi" w:cstheme="minorHAnsi"/>
                <w:sz w:val="24"/>
                <w:szCs w:val="24"/>
              </w:rPr>
              <w:t>Relevant strategic objective</w:t>
            </w:r>
          </w:p>
        </w:tc>
      </w:tr>
      <w:tr w:rsidRPr="00887D59" w:rsidR="00887D59" w:rsidTr="003003EB" w14:paraId="0675306F" w14:textId="77777777">
        <w:trPr>
          <w:trHeight w:val="498"/>
        </w:trPr>
        <w:tc>
          <w:tcPr>
            <w:cnfStyle w:val="001000000000" w:firstRow="0" w:lastRow="0" w:firstColumn="1" w:lastColumn="0" w:oddVBand="0" w:evenVBand="0" w:oddHBand="0" w:evenHBand="0" w:firstRowFirstColumn="0" w:firstRowLastColumn="0" w:lastRowFirstColumn="0" w:lastRowLastColumn="0"/>
            <w:tcW w:w="4111" w:type="dxa"/>
          </w:tcPr>
          <w:p w:rsidRPr="00803819" w:rsidR="00887D59" w:rsidP="003003EB" w:rsidRDefault="005D0091" w14:paraId="4CA2C226" w14:textId="6EDEA98B">
            <w:pPr>
              <w:jc w:val="left"/>
              <w:rPr>
                <w:rFonts w:cs="Arial"/>
                <w:b w:val="0"/>
                <w:sz w:val="22"/>
              </w:rPr>
            </w:pPr>
            <w:r w:rsidRPr="00803819">
              <w:rPr>
                <w:rFonts w:cs="Arial"/>
                <w:bCs/>
                <w:sz w:val="22"/>
              </w:rPr>
              <w:t>Measure 1</w:t>
            </w:r>
            <w:r w:rsidRPr="00803819">
              <w:rPr>
                <w:rFonts w:cs="Arial"/>
                <w:b w:val="0"/>
                <w:sz w:val="22"/>
              </w:rPr>
              <w:t xml:space="preserve">: </w:t>
            </w:r>
            <w:r w:rsidRPr="00803819" w:rsidR="00887D59">
              <w:rPr>
                <w:rFonts w:cs="Arial"/>
                <w:b w:val="0"/>
                <w:sz w:val="22"/>
              </w:rPr>
              <w:t>Maximise the influence of our work.</w:t>
            </w:r>
          </w:p>
        </w:tc>
        <w:tc>
          <w:tcPr>
            <w:tcW w:w="5295" w:type="dxa"/>
          </w:tcPr>
          <w:p w:rsidRPr="00496DE0" w:rsidR="00887D59" w:rsidP="003003EB" w:rsidRDefault="00496DE0" w14:paraId="09290A1A" w14:textId="4FA30933">
            <w:pPr>
              <w:cnfStyle w:val="000000000000" w:firstRow="0" w:lastRow="0" w:firstColumn="0" w:lastColumn="0" w:oddVBand="0" w:evenVBand="0" w:oddHBand="0" w:evenHBand="0" w:firstRowFirstColumn="0" w:firstRowLastColumn="0" w:lastRowFirstColumn="0" w:lastRowLastColumn="0"/>
            </w:pPr>
            <w:r w:rsidRPr="003003EB">
              <w:rPr>
                <w:b/>
                <w:bCs/>
              </w:rPr>
              <w:t xml:space="preserve">Objective </w:t>
            </w:r>
            <w:r w:rsidRPr="003003EB" w:rsidR="005D0091">
              <w:rPr>
                <w:b/>
                <w:bCs/>
              </w:rPr>
              <w:t>2</w:t>
            </w:r>
            <w:r>
              <w:t xml:space="preserve">: </w:t>
            </w:r>
            <w:r w:rsidRPr="00496DE0">
              <w:t>We maximise the influence of our work. We build and cement a strong, trusted profile in both the aged care sector and the public landscape as an oversight body and agent for positive change.</w:t>
            </w:r>
          </w:p>
        </w:tc>
      </w:tr>
      <w:tr w:rsidRPr="00887D59" w:rsidR="00887D59" w:rsidTr="003003EB" w14:paraId="4FA43A96" w14:textId="77777777">
        <w:trPr>
          <w:trHeight w:val="737"/>
        </w:trPr>
        <w:tc>
          <w:tcPr>
            <w:cnfStyle w:val="001000000000" w:firstRow="0" w:lastRow="0" w:firstColumn="1" w:lastColumn="0" w:oddVBand="0" w:evenVBand="0" w:oddHBand="0" w:evenHBand="0" w:firstRowFirstColumn="0" w:firstRowLastColumn="0" w:lastRowFirstColumn="0" w:lastRowLastColumn="0"/>
            <w:tcW w:w="4111" w:type="dxa"/>
          </w:tcPr>
          <w:p w:rsidRPr="00803819" w:rsidR="00887D59" w:rsidP="003003EB" w:rsidRDefault="005D0091" w14:paraId="58CFD383" w14:textId="689C4EEB">
            <w:pPr>
              <w:jc w:val="left"/>
              <w:rPr>
                <w:rFonts w:cs="Arial"/>
                <w:b w:val="0"/>
                <w:sz w:val="22"/>
              </w:rPr>
            </w:pPr>
            <w:r w:rsidRPr="00803819">
              <w:rPr>
                <w:rFonts w:cs="Arial"/>
                <w:bCs/>
                <w:sz w:val="22"/>
              </w:rPr>
              <w:t>Measure 2</w:t>
            </w:r>
            <w:r w:rsidRPr="00803819">
              <w:rPr>
                <w:rFonts w:cs="Arial"/>
                <w:b w:val="0"/>
                <w:sz w:val="22"/>
              </w:rPr>
              <w:t xml:space="preserve">: </w:t>
            </w:r>
            <w:r w:rsidRPr="00803819" w:rsidR="00887D59">
              <w:rPr>
                <w:rFonts w:cs="Arial"/>
                <w:b w:val="0"/>
                <w:sz w:val="22"/>
              </w:rPr>
              <w:t xml:space="preserve">Proportion of publications, products and activities that draw on </w:t>
            </w:r>
            <w:proofErr w:type="gramStart"/>
            <w:r w:rsidRPr="00803819" w:rsidR="00887D59">
              <w:rPr>
                <w:rFonts w:cs="Arial"/>
                <w:b w:val="0"/>
                <w:sz w:val="22"/>
              </w:rPr>
              <w:t>people’s</w:t>
            </w:r>
            <w:proofErr w:type="gramEnd"/>
            <w:r w:rsidRPr="00803819" w:rsidR="00887D59">
              <w:rPr>
                <w:rFonts w:cs="Arial"/>
                <w:b w:val="0"/>
                <w:sz w:val="22"/>
              </w:rPr>
              <w:t xml:space="preserve"> lived experience</w:t>
            </w:r>
          </w:p>
        </w:tc>
        <w:tc>
          <w:tcPr>
            <w:tcW w:w="5295" w:type="dxa"/>
          </w:tcPr>
          <w:p w:rsidRPr="002A613E" w:rsidR="00887D59" w:rsidP="002F36CB" w:rsidRDefault="00496DE0" w14:paraId="644895B5" w14:textId="14189BBE">
            <w:pPr>
              <w:cnfStyle w:val="000000000000" w:firstRow="0" w:lastRow="0" w:firstColumn="0" w:lastColumn="0" w:oddVBand="0" w:evenVBand="0" w:oddHBand="0" w:evenHBand="0" w:firstRowFirstColumn="0" w:firstRowLastColumn="0" w:lastRowFirstColumn="0" w:lastRowLastColumn="0"/>
            </w:pPr>
            <w:r w:rsidRPr="002A613E">
              <w:rPr>
                <w:b/>
                <w:bCs/>
              </w:rPr>
              <w:t xml:space="preserve">Objective </w:t>
            </w:r>
            <w:r w:rsidRPr="002A613E" w:rsidR="005D0091">
              <w:rPr>
                <w:b/>
                <w:bCs/>
              </w:rPr>
              <w:t>3</w:t>
            </w:r>
            <w:r w:rsidRPr="002A613E">
              <w:t>: Our work highlights experiences of those most vulnerable and who face the greatest barriers to equity in the upholding of their rights.</w:t>
            </w:r>
          </w:p>
        </w:tc>
      </w:tr>
      <w:tr w:rsidRPr="00E235D7" w:rsidR="00E235D7" w:rsidTr="00887D59" w14:paraId="1B75BB1C" w14:textId="77777777">
        <w:trPr>
          <w:trHeight w:val="737"/>
        </w:trPr>
        <w:tc>
          <w:tcPr>
            <w:cnfStyle w:val="001000000000" w:firstRow="0" w:lastRow="0" w:firstColumn="1" w:lastColumn="0" w:oddVBand="0" w:evenVBand="0" w:oddHBand="0" w:evenHBand="0" w:firstRowFirstColumn="0" w:firstRowLastColumn="0" w:lastRowFirstColumn="0" w:lastRowLastColumn="0"/>
            <w:tcW w:w="4111" w:type="dxa"/>
          </w:tcPr>
          <w:p w:rsidRPr="00803819" w:rsidR="00E235D7" w:rsidP="003003EB" w:rsidRDefault="005D0091" w14:paraId="17ADC077" w14:textId="506C4486">
            <w:pPr>
              <w:jc w:val="left"/>
              <w:rPr>
                <w:rFonts w:cs="Arial"/>
                <w:b w:val="0"/>
                <w:sz w:val="22"/>
              </w:rPr>
            </w:pPr>
            <w:r w:rsidRPr="00803819">
              <w:rPr>
                <w:rFonts w:cs="Arial"/>
                <w:bCs/>
                <w:sz w:val="22"/>
              </w:rPr>
              <w:t>Measure 3</w:t>
            </w:r>
            <w:r w:rsidRPr="00803819">
              <w:rPr>
                <w:rFonts w:cs="Arial"/>
                <w:b w:val="0"/>
                <w:sz w:val="22"/>
              </w:rPr>
              <w:t xml:space="preserve">: </w:t>
            </w:r>
            <w:r w:rsidRPr="00803819" w:rsidR="00E235D7">
              <w:rPr>
                <w:rFonts w:cs="Arial"/>
                <w:b w:val="0"/>
                <w:sz w:val="22"/>
              </w:rPr>
              <w:t>Effective stakeholder engagement with relevant committees, advisory bodies, agencies, organisations and the public</w:t>
            </w:r>
          </w:p>
        </w:tc>
        <w:tc>
          <w:tcPr>
            <w:tcW w:w="5295" w:type="dxa"/>
          </w:tcPr>
          <w:p w:rsidRPr="00C53856" w:rsidR="00496DE0" w:rsidP="003003EB" w:rsidRDefault="00496DE0" w14:paraId="0A0F62B1" w14:textId="61AC1D88">
            <w:pPr>
              <w:cnfStyle w:val="000000000000" w:firstRow="0" w:lastRow="0" w:firstColumn="0" w:lastColumn="0" w:oddVBand="0" w:evenVBand="0" w:oddHBand="0" w:evenHBand="0" w:firstRowFirstColumn="0" w:firstRowLastColumn="0" w:lastRowFirstColumn="0" w:lastRowLastColumn="0"/>
            </w:pPr>
            <w:r w:rsidRPr="003003EB">
              <w:rPr>
                <w:b/>
                <w:bCs/>
              </w:rPr>
              <w:t xml:space="preserve">Objective </w:t>
            </w:r>
            <w:r w:rsidRPr="003003EB" w:rsidR="005D0091">
              <w:rPr>
                <w:b/>
                <w:bCs/>
              </w:rPr>
              <w:t>4</w:t>
            </w:r>
            <w:r>
              <w:t xml:space="preserve">: </w:t>
            </w:r>
            <w:r w:rsidRPr="00C53856">
              <w:t>Our way of working and our aims are well</w:t>
            </w:r>
            <w:r>
              <w:t xml:space="preserve"> </w:t>
            </w:r>
            <w:r w:rsidRPr="00C53856">
              <w:t>known.</w:t>
            </w:r>
          </w:p>
          <w:p w:rsidRPr="00E235D7" w:rsidR="00E235D7" w:rsidP="003003EB" w:rsidRDefault="00E235D7" w14:paraId="7FBD47BB" w14:textId="77777777">
            <w:pPr>
              <w:pStyle w:val="ListBullet"/>
              <w:numPr>
                <w:ilvl w:val="0"/>
                <w:numId w:val="0"/>
              </w:numPr>
              <w:spacing w:after="60"/>
              <w:ind w:left="397" w:hanging="360"/>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r>
      <w:tr w:rsidRPr="00E235D7" w:rsidR="00E235D7" w:rsidTr="00887D59" w14:paraId="2BC748DE" w14:textId="77777777">
        <w:trPr>
          <w:trHeight w:val="737"/>
        </w:trPr>
        <w:tc>
          <w:tcPr>
            <w:cnfStyle w:val="001000000000" w:firstRow="0" w:lastRow="0" w:firstColumn="1" w:lastColumn="0" w:oddVBand="0" w:evenVBand="0" w:oddHBand="0" w:evenHBand="0" w:firstRowFirstColumn="0" w:firstRowLastColumn="0" w:lastRowFirstColumn="0" w:lastRowLastColumn="0"/>
            <w:tcW w:w="4111" w:type="dxa"/>
          </w:tcPr>
          <w:p w:rsidRPr="00803819" w:rsidR="00E235D7" w:rsidP="003003EB" w:rsidRDefault="005D0091" w14:paraId="1454AA18" w14:textId="4E279F9E">
            <w:pPr>
              <w:jc w:val="left"/>
              <w:rPr>
                <w:rFonts w:cs="Arial"/>
                <w:b w:val="0"/>
                <w:sz w:val="22"/>
              </w:rPr>
            </w:pPr>
            <w:r w:rsidRPr="00803819">
              <w:rPr>
                <w:rFonts w:cs="Arial"/>
                <w:bCs/>
                <w:sz w:val="22"/>
              </w:rPr>
              <w:t>Measure 4</w:t>
            </w:r>
            <w:r w:rsidRPr="00803819">
              <w:rPr>
                <w:rFonts w:cs="Arial"/>
                <w:b w:val="0"/>
                <w:sz w:val="22"/>
              </w:rPr>
              <w:t xml:space="preserve">: </w:t>
            </w:r>
            <w:r w:rsidRPr="00803819" w:rsidR="00E235D7">
              <w:rPr>
                <w:rFonts w:cs="Arial"/>
                <w:b w:val="0"/>
                <w:sz w:val="22"/>
              </w:rPr>
              <w:t>Number of publications, products and activities generated by the Office that identify systemic issues and/or opportunities for sector-wide improvements</w:t>
            </w:r>
          </w:p>
        </w:tc>
        <w:tc>
          <w:tcPr>
            <w:tcW w:w="5295" w:type="dxa"/>
          </w:tcPr>
          <w:p w:rsidRPr="00496DE0" w:rsidR="00E235D7" w:rsidP="003003EB" w:rsidRDefault="00496DE0" w14:paraId="0F0E1EFB" w14:textId="4C24394D">
            <w:pPr>
              <w:cnfStyle w:val="000000000000" w:firstRow="0" w:lastRow="0" w:firstColumn="0" w:lastColumn="0" w:oddVBand="0" w:evenVBand="0" w:oddHBand="0" w:evenHBand="0" w:firstRowFirstColumn="0" w:firstRowLastColumn="0" w:lastRowFirstColumn="0" w:lastRowLastColumn="0"/>
            </w:pPr>
            <w:r w:rsidRPr="003003EB">
              <w:rPr>
                <w:b/>
                <w:bCs/>
              </w:rPr>
              <w:t xml:space="preserve">Objective </w:t>
            </w:r>
            <w:r w:rsidRPr="003003EB" w:rsidR="005D0091">
              <w:rPr>
                <w:b/>
                <w:bCs/>
              </w:rPr>
              <w:t>1</w:t>
            </w:r>
            <w:r>
              <w:t xml:space="preserve">: </w:t>
            </w:r>
            <w:r w:rsidRPr="00496DE0" w:rsidR="00BB4AE9">
              <w:t>Our work calls out the systemic problems and opportunities that lead to the greatest change in aged care.</w:t>
            </w:r>
          </w:p>
        </w:tc>
      </w:tr>
    </w:tbl>
    <w:p w:rsidR="004B2866" w:rsidP="003003EB" w:rsidRDefault="004B2866" w14:paraId="2C0BF20A" w14:textId="7BF2CE27">
      <w:pPr>
        <w:pStyle w:val="Heading3"/>
      </w:pPr>
      <w:r>
        <w:t>Methodology and data sources</w:t>
      </w:r>
    </w:p>
    <w:p w:rsidR="00513A5F" w:rsidP="00A77444" w:rsidRDefault="00CE09D1" w14:paraId="2E7933E2" w14:textId="7C0718D5">
      <w:r>
        <w:t xml:space="preserve">Performance will be assessed using the data sources outlined in Table 2. This includes a combination of </w:t>
      </w:r>
      <w:r w:rsidR="00CF70BB">
        <w:t xml:space="preserve">media and social media monitoring, stakeholder engagement activities, and delivery of </w:t>
      </w:r>
      <w:r w:rsidR="00772AFA">
        <w:t>relevant publications, products and activities.</w:t>
      </w:r>
    </w:p>
    <w:p w:rsidR="008B24FB" w:rsidRDefault="008B24FB" w14:paraId="3B083E59" w14:textId="77777777">
      <w:pPr>
        <w:spacing w:before="0" w:after="0"/>
        <w:rPr>
          <w:rFonts w:eastAsiaTheme="majorEastAsia" w:cstheme="majorBidi"/>
          <w:bCs/>
          <w:color w:val="5F266B"/>
          <w:sz w:val="36"/>
          <w:szCs w:val="36"/>
        </w:rPr>
      </w:pPr>
      <w:bookmarkStart w:name="_Toc201918502" w:id="48"/>
      <w:bookmarkStart w:name="_Toc223701237" w:id="49"/>
      <w:r>
        <w:br w:type="page"/>
      </w:r>
    </w:p>
    <w:p w:rsidRPr="0060187C" w:rsidR="00E80C91" w:rsidP="00620EF4" w:rsidRDefault="00E80C91" w14:paraId="0F337CD8" w14:textId="37B95DEE">
      <w:pPr>
        <w:pStyle w:val="Heading2"/>
      </w:pPr>
      <w:bookmarkStart w:name="_Toc233626481" w:id="50"/>
      <w:r w:rsidRPr="0060187C">
        <w:t>Appendix: List of requirements</w:t>
      </w:r>
      <w:bookmarkEnd w:id="48"/>
      <w:bookmarkEnd w:id="49"/>
      <w:bookmarkEnd w:id="50"/>
    </w:p>
    <w:tbl>
      <w:tblPr>
        <w:tblStyle w:val="GridTable1Light"/>
        <w:tblW w:w="5247" w:type="pct"/>
        <w:tblInd w:w="-147" w:type="dxa"/>
        <w:shd w:val="clear" w:color="auto" w:fill="D1D1D1" w:themeFill="background2" w:themeFillShade="E6"/>
        <w:tblLook w:val="04A0" w:firstRow="1" w:lastRow="0" w:firstColumn="1" w:lastColumn="0" w:noHBand="0" w:noVBand="1"/>
      </w:tblPr>
      <w:tblGrid>
        <w:gridCol w:w="2058"/>
        <w:gridCol w:w="2172"/>
        <w:gridCol w:w="4338"/>
        <w:gridCol w:w="1292"/>
      </w:tblGrid>
      <w:tr w:rsidRPr="0060187C" w:rsidR="00E80C91" w:rsidTr="00620EF4" w14:paraId="7B5131A1" w14:textId="7777777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1079" w:type="pct"/>
            <w:shd w:val="clear" w:color="auto" w:fill="F3E9F3" w:themeFill="accent3" w:themeFillTint="33"/>
          </w:tcPr>
          <w:p w:rsidRPr="0060187C" w:rsidR="00E80C91" w:rsidP="00B83BBC" w:rsidRDefault="00E80C91" w14:paraId="127389F7" w14:textId="77777777">
            <w:pPr>
              <w:spacing w:after="60"/>
              <w:rPr>
                <w:b w:val="0"/>
                <w:bCs w:val="0"/>
              </w:rPr>
            </w:pPr>
            <w:r w:rsidRPr="0060187C">
              <w:t>PGPA Rule reference</w:t>
            </w:r>
          </w:p>
        </w:tc>
        <w:tc>
          <w:tcPr>
            <w:tcW w:w="1012" w:type="pct"/>
            <w:shd w:val="clear" w:color="auto" w:fill="F3E9F3" w:themeFill="accent3" w:themeFillTint="33"/>
          </w:tcPr>
          <w:p w:rsidRPr="0060187C" w:rsidR="00E80C91" w:rsidP="00B83BBC" w:rsidRDefault="00E80C91" w14:paraId="7580887E" w14:textId="77777777">
            <w:pPr>
              <w:spacing w:after="60"/>
              <w:cnfStyle w:val="100000000000" w:firstRow="1" w:lastRow="0" w:firstColumn="0" w:lastColumn="0" w:oddVBand="0" w:evenVBand="0" w:oddHBand="0" w:evenHBand="0" w:firstRowFirstColumn="0" w:firstRowLastColumn="0" w:lastRowFirstColumn="0" w:lastRowLastColumn="0"/>
              <w:rPr>
                <w:b w:val="0"/>
                <w:bCs w:val="0"/>
              </w:rPr>
            </w:pPr>
            <w:r w:rsidRPr="0060187C">
              <w:t>Required element</w:t>
            </w:r>
          </w:p>
        </w:tc>
        <w:tc>
          <w:tcPr>
            <w:tcW w:w="2235" w:type="pct"/>
            <w:shd w:val="clear" w:color="auto" w:fill="F3E9F3" w:themeFill="accent3" w:themeFillTint="33"/>
          </w:tcPr>
          <w:p w:rsidRPr="0060187C" w:rsidR="00E80C91" w:rsidP="00B83BBC" w:rsidRDefault="00E80C91" w14:paraId="5F0139B7" w14:textId="77777777">
            <w:pPr>
              <w:spacing w:after="60"/>
              <w:cnfStyle w:val="100000000000" w:firstRow="1" w:lastRow="0" w:firstColumn="0" w:lastColumn="0" w:oddVBand="0" w:evenVBand="0" w:oddHBand="0" w:evenHBand="0" w:firstRowFirstColumn="0" w:firstRowLastColumn="0" w:lastRowFirstColumn="0" w:lastRowLastColumn="0"/>
              <w:rPr>
                <w:b w:val="0"/>
                <w:bCs w:val="0"/>
              </w:rPr>
            </w:pPr>
            <w:r w:rsidRPr="0060187C">
              <w:t>Legislative requirement</w:t>
            </w:r>
          </w:p>
        </w:tc>
        <w:tc>
          <w:tcPr>
            <w:tcW w:w="675" w:type="pct"/>
            <w:shd w:val="clear" w:color="auto" w:fill="F3E9F3" w:themeFill="accent3" w:themeFillTint="33"/>
          </w:tcPr>
          <w:p w:rsidRPr="0060187C" w:rsidR="00E80C91" w:rsidP="00B83BBC" w:rsidRDefault="00E80C91" w14:paraId="4D1009B5" w14:textId="77777777">
            <w:pPr>
              <w:spacing w:after="60"/>
              <w:cnfStyle w:val="100000000000" w:firstRow="1" w:lastRow="0" w:firstColumn="0" w:lastColumn="0" w:oddVBand="0" w:evenVBand="0" w:oddHBand="0" w:evenHBand="0" w:firstRowFirstColumn="0" w:firstRowLastColumn="0" w:lastRowFirstColumn="0" w:lastRowLastColumn="0"/>
              <w:rPr>
                <w:b w:val="0"/>
                <w:bCs w:val="0"/>
              </w:rPr>
            </w:pPr>
            <w:r w:rsidRPr="0060187C">
              <w:t>Page number(s)</w:t>
            </w:r>
          </w:p>
        </w:tc>
      </w:tr>
      <w:tr w:rsidRPr="0060187C" w:rsidR="00E80C91" w:rsidTr="00620EF4" w14:paraId="007F1A0F" w14:textId="77777777">
        <w:tc>
          <w:tcPr>
            <w:cnfStyle w:val="001000000000" w:firstRow="0" w:lastRow="0" w:firstColumn="1" w:lastColumn="0" w:oddVBand="0" w:evenVBand="0" w:oddHBand="0" w:evenHBand="0" w:firstRowFirstColumn="0" w:firstRowLastColumn="0" w:lastRowFirstColumn="0" w:lastRowLastColumn="0"/>
            <w:tcW w:w="1079" w:type="pct"/>
            <w:shd w:val="clear" w:color="auto" w:fill="F2F2F2" w:themeFill="background1" w:themeFillShade="F2"/>
          </w:tcPr>
          <w:p w:rsidRPr="00B83BBC" w:rsidR="00E80C91" w:rsidP="00620EF4" w:rsidRDefault="00E80C91" w14:paraId="74E9D543" w14:textId="2AF0BE8B">
            <w:pPr>
              <w:spacing w:after="60"/>
              <w:rPr>
                <w:b w:val="0"/>
                <w:bCs w:val="0"/>
              </w:rPr>
            </w:pPr>
            <w:r w:rsidRPr="00B83BBC">
              <w:rPr>
                <w:b w:val="0"/>
                <w:bCs w:val="0"/>
              </w:rPr>
              <w:t>s16</w:t>
            </w:r>
            <w:proofErr w:type="gramStart"/>
            <w:r w:rsidRPr="00B83BBC">
              <w:rPr>
                <w:b w:val="0"/>
                <w:bCs w:val="0"/>
              </w:rPr>
              <w:t>E(</w:t>
            </w:r>
            <w:proofErr w:type="gramEnd"/>
            <w:r w:rsidRPr="00B83BBC">
              <w:rPr>
                <w:b w:val="0"/>
                <w:bCs w:val="0"/>
              </w:rPr>
              <w:t>2) item 1 of PGPA Rule</w:t>
            </w:r>
          </w:p>
        </w:tc>
        <w:tc>
          <w:tcPr>
            <w:tcW w:w="1012" w:type="pct"/>
            <w:shd w:val="clear" w:color="auto" w:fill="F2F2F2" w:themeFill="background1" w:themeFillShade="F2"/>
            <w:hideMark/>
          </w:tcPr>
          <w:p w:rsidRPr="00B83BBC" w:rsidR="00E80C91" w:rsidP="00620EF4" w:rsidRDefault="00E80C91" w14:paraId="49A75B35" w14:textId="77777777">
            <w:pPr>
              <w:spacing w:after="60"/>
              <w:cnfStyle w:val="000000000000" w:firstRow="0" w:lastRow="0" w:firstColumn="0" w:lastColumn="0" w:oddVBand="0" w:evenVBand="0" w:oddHBand="0" w:evenHBand="0" w:firstRowFirstColumn="0" w:firstRowLastColumn="0" w:lastRowFirstColumn="0" w:lastRowLastColumn="0"/>
            </w:pPr>
            <w:r w:rsidRPr="00B83BBC">
              <w:t>Introduction</w:t>
            </w:r>
          </w:p>
        </w:tc>
        <w:tc>
          <w:tcPr>
            <w:tcW w:w="2235" w:type="pct"/>
            <w:shd w:val="clear" w:color="auto" w:fill="F2F2F2" w:themeFill="background1" w:themeFillShade="F2"/>
            <w:hideMark/>
          </w:tcPr>
          <w:p w:rsidRPr="0060187C" w:rsidR="00E80C91" w:rsidP="00620EF4" w:rsidRDefault="00620EF4" w14:paraId="506F4FB7" w14:textId="66E3726B">
            <w:pPr>
              <w:pStyle w:val="ListParagraph"/>
              <w:numPr>
                <w:ilvl w:val="0"/>
                <w:numId w:val="36"/>
              </w:numPr>
              <w:tabs>
                <w:tab w:val="clear" w:pos="567"/>
                <w:tab w:val="clear" w:pos="1134"/>
                <w:tab w:val="clear" w:pos="1701"/>
                <w:tab w:val="clear" w:pos="2268"/>
              </w:tabs>
              <w:suppressAutoHyphens/>
              <w:spacing w:after="60"/>
              <w:ind w:left="476" w:hanging="476"/>
              <w:cnfStyle w:val="000000000000" w:firstRow="0" w:lastRow="0" w:firstColumn="0" w:lastColumn="0" w:oddVBand="0" w:evenVBand="0" w:oddHBand="0" w:evenHBand="0" w:firstRowFirstColumn="0" w:firstRowLastColumn="0" w:lastRowFirstColumn="0" w:lastRowLastColumn="0"/>
            </w:pPr>
            <w:r>
              <w:t>S</w:t>
            </w:r>
            <w:r w:rsidRPr="0060187C" w:rsidR="00E80C91">
              <w:t>tatement that the plan is prepared for paragraph 35(1)(b) of the Act;</w:t>
            </w:r>
          </w:p>
          <w:p w:rsidRPr="0060187C" w:rsidR="00E80C91" w:rsidP="00620EF4" w:rsidRDefault="00620EF4" w14:paraId="59520B00" w14:textId="039F8960">
            <w:pPr>
              <w:pStyle w:val="ListParagraph"/>
              <w:numPr>
                <w:ilvl w:val="0"/>
                <w:numId w:val="36"/>
              </w:numPr>
              <w:tabs>
                <w:tab w:val="clear" w:pos="567"/>
                <w:tab w:val="clear" w:pos="1134"/>
                <w:tab w:val="clear" w:pos="1701"/>
                <w:tab w:val="clear" w:pos="2268"/>
              </w:tabs>
              <w:suppressAutoHyphens/>
              <w:spacing w:after="60"/>
              <w:ind w:left="476" w:hanging="476"/>
              <w:cnfStyle w:val="000000000000" w:firstRow="0" w:lastRow="0" w:firstColumn="0" w:lastColumn="0" w:oddVBand="0" w:evenVBand="0" w:oddHBand="0" w:evenHBand="0" w:firstRowFirstColumn="0" w:firstRowLastColumn="0" w:lastRowFirstColumn="0" w:lastRowLastColumn="0"/>
            </w:pPr>
            <w:r>
              <w:t>R</w:t>
            </w:r>
            <w:r w:rsidRPr="0060187C" w:rsidR="00E80C91">
              <w:t>eporting period for which the plan is prepared;</w:t>
            </w:r>
          </w:p>
          <w:p w:rsidRPr="0060187C" w:rsidR="00E80C91" w:rsidP="00620EF4" w:rsidRDefault="00620EF4" w14:paraId="3B7CF1F1" w14:textId="774033CF">
            <w:pPr>
              <w:pStyle w:val="ListParagraph"/>
              <w:numPr>
                <w:ilvl w:val="0"/>
                <w:numId w:val="36"/>
              </w:numPr>
              <w:tabs>
                <w:tab w:val="clear" w:pos="567"/>
                <w:tab w:val="clear" w:pos="1134"/>
                <w:tab w:val="clear" w:pos="1701"/>
                <w:tab w:val="clear" w:pos="2268"/>
              </w:tabs>
              <w:suppressAutoHyphens/>
              <w:spacing w:after="60"/>
              <w:ind w:left="476" w:hanging="476"/>
              <w:cnfStyle w:val="000000000000" w:firstRow="0" w:lastRow="0" w:firstColumn="0" w:lastColumn="0" w:oddVBand="0" w:evenVBand="0" w:oddHBand="0" w:evenHBand="0" w:firstRowFirstColumn="0" w:firstRowLastColumn="0" w:lastRowFirstColumn="0" w:lastRowLastColumn="0"/>
            </w:pPr>
            <w:r>
              <w:t>R</w:t>
            </w:r>
            <w:r w:rsidRPr="0060187C" w:rsidR="00E80C91">
              <w:t>eporting periods covered by plan.</w:t>
            </w:r>
          </w:p>
        </w:tc>
        <w:tc>
          <w:tcPr>
            <w:tcW w:w="675" w:type="pct"/>
            <w:shd w:val="clear" w:color="auto" w:fill="F2F2F2" w:themeFill="background1" w:themeFillShade="F2"/>
          </w:tcPr>
          <w:p w:rsidRPr="00157ADB" w:rsidR="00E80C91" w:rsidP="00620EF4" w:rsidRDefault="00C22883" w14:paraId="435A7674" w14:textId="721A92E7">
            <w:pPr>
              <w:spacing w:after="60"/>
              <w:cnfStyle w:val="000000000000" w:firstRow="0" w:lastRow="0" w:firstColumn="0" w:lastColumn="0" w:oddVBand="0" w:evenVBand="0" w:oddHBand="0" w:evenHBand="0" w:firstRowFirstColumn="0" w:firstRowLastColumn="0" w:lastRowFirstColumn="0" w:lastRowLastColumn="0"/>
            </w:pPr>
            <w:r w:rsidRPr="00157ADB">
              <w:t>4</w:t>
            </w:r>
          </w:p>
        </w:tc>
      </w:tr>
      <w:tr w:rsidRPr="0060187C" w:rsidR="00E80C91" w:rsidTr="00620EF4" w14:paraId="7555876E" w14:textId="77777777">
        <w:tc>
          <w:tcPr>
            <w:cnfStyle w:val="001000000000" w:firstRow="0" w:lastRow="0" w:firstColumn="1" w:lastColumn="0" w:oddVBand="0" w:evenVBand="0" w:oddHBand="0" w:evenHBand="0" w:firstRowFirstColumn="0" w:firstRowLastColumn="0" w:lastRowFirstColumn="0" w:lastRowLastColumn="0"/>
            <w:tcW w:w="1079" w:type="pct"/>
            <w:shd w:val="clear" w:color="auto" w:fill="D1D1D1" w:themeFill="background2" w:themeFillShade="E6"/>
          </w:tcPr>
          <w:p w:rsidRPr="00B83BBC" w:rsidR="00E80C91" w:rsidP="00620EF4" w:rsidRDefault="00E80C91" w14:paraId="271763BA" w14:textId="00D29D7F">
            <w:pPr>
              <w:spacing w:after="60"/>
              <w:rPr>
                <w:b w:val="0"/>
                <w:bCs w:val="0"/>
              </w:rPr>
            </w:pPr>
            <w:r w:rsidRPr="00B83BBC">
              <w:rPr>
                <w:b w:val="0"/>
                <w:bCs w:val="0"/>
              </w:rPr>
              <w:t>s16</w:t>
            </w:r>
            <w:proofErr w:type="gramStart"/>
            <w:r w:rsidRPr="00B83BBC">
              <w:rPr>
                <w:b w:val="0"/>
                <w:bCs w:val="0"/>
              </w:rPr>
              <w:t>E(</w:t>
            </w:r>
            <w:proofErr w:type="gramEnd"/>
            <w:r w:rsidRPr="00B83BBC">
              <w:rPr>
                <w:b w:val="0"/>
                <w:bCs w:val="0"/>
              </w:rPr>
              <w:t>2) item 2 of PGPA Rule</w:t>
            </w:r>
          </w:p>
        </w:tc>
        <w:tc>
          <w:tcPr>
            <w:tcW w:w="1012" w:type="pct"/>
            <w:shd w:val="clear" w:color="auto" w:fill="D1D1D1" w:themeFill="background2" w:themeFillShade="E6"/>
            <w:hideMark/>
          </w:tcPr>
          <w:p w:rsidRPr="00B83BBC" w:rsidR="00E80C91" w:rsidP="00620EF4" w:rsidRDefault="00E80C91" w14:paraId="4759ABD7" w14:textId="77777777">
            <w:pPr>
              <w:spacing w:after="60"/>
              <w:cnfStyle w:val="000000000000" w:firstRow="0" w:lastRow="0" w:firstColumn="0" w:lastColumn="0" w:oddVBand="0" w:evenVBand="0" w:oddHBand="0" w:evenHBand="0" w:firstRowFirstColumn="0" w:firstRowLastColumn="0" w:lastRowFirstColumn="0" w:lastRowLastColumn="0"/>
            </w:pPr>
            <w:r w:rsidRPr="00B83BBC">
              <w:t>Purposes</w:t>
            </w:r>
          </w:p>
        </w:tc>
        <w:tc>
          <w:tcPr>
            <w:tcW w:w="2235" w:type="pct"/>
            <w:shd w:val="clear" w:color="auto" w:fill="D1D1D1" w:themeFill="background2" w:themeFillShade="E6"/>
            <w:hideMark/>
          </w:tcPr>
          <w:p w:rsidRPr="0060187C" w:rsidR="00E80C91" w:rsidP="00620EF4" w:rsidRDefault="00E80C91" w14:paraId="56223135" w14:textId="77777777">
            <w:pPr>
              <w:spacing w:after="60"/>
              <w:cnfStyle w:val="000000000000" w:firstRow="0" w:lastRow="0" w:firstColumn="0" w:lastColumn="0" w:oddVBand="0" w:evenVBand="0" w:oddHBand="0" w:evenHBand="0" w:firstRowFirstColumn="0" w:firstRowLastColumn="0" w:lastRowFirstColumn="0" w:lastRowLastColumn="0"/>
            </w:pPr>
            <w:r w:rsidRPr="0060187C">
              <w:t>The purposes of the entity.</w:t>
            </w:r>
          </w:p>
        </w:tc>
        <w:tc>
          <w:tcPr>
            <w:tcW w:w="675" w:type="pct"/>
            <w:shd w:val="clear" w:color="auto" w:fill="D1D1D1" w:themeFill="background2" w:themeFillShade="E6"/>
          </w:tcPr>
          <w:p w:rsidRPr="00157ADB" w:rsidR="00E80C91" w:rsidP="00620EF4" w:rsidRDefault="004E4E9D" w14:paraId="78C6952B" w14:textId="0C1F3A02">
            <w:pPr>
              <w:spacing w:after="60"/>
              <w:cnfStyle w:val="000000000000" w:firstRow="0" w:lastRow="0" w:firstColumn="0" w:lastColumn="0" w:oddVBand="0" w:evenVBand="0" w:oddHBand="0" w:evenHBand="0" w:firstRowFirstColumn="0" w:firstRowLastColumn="0" w:lastRowFirstColumn="0" w:lastRowLastColumn="0"/>
            </w:pPr>
            <w:r w:rsidRPr="00157ADB">
              <w:t>5</w:t>
            </w:r>
            <w:r w:rsidRPr="00157ADB" w:rsidR="004D3227">
              <w:t>-8</w:t>
            </w:r>
          </w:p>
        </w:tc>
      </w:tr>
      <w:tr w:rsidRPr="0060187C" w:rsidR="00E80C91" w:rsidTr="00620EF4" w14:paraId="2F4DAE07" w14:textId="77777777">
        <w:tc>
          <w:tcPr>
            <w:cnfStyle w:val="001000000000" w:firstRow="0" w:lastRow="0" w:firstColumn="1" w:lastColumn="0" w:oddVBand="0" w:evenVBand="0" w:oddHBand="0" w:evenHBand="0" w:firstRowFirstColumn="0" w:firstRowLastColumn="0" w:lastRowFirstColumn="0" w:lastRowLastColumn="0"/>
            <w:tcW w:w="1079" w:type="pct"/>
            <w:shd w:val="clear" w:color="auto" w:fill="F2F2F2" w:themeFill="background1" w:themeFillShade="F2"/>
          </w:tcPr>
          <w:p w:rsidRPr="00B83BBC" w:rsidR="00E80C91" w:rsidP="00620EF4" w:rsidRDefault="00E80C91" w14:paraId="6D398E0E" w14:textId="1388C3F7">
            <w:pPr>
              <w:spacing w:after="60"/>
              <w:rPr>
                <w:b w:val="0"/>
                <w:bCs w:val="0"/>
              </w:rPr>
            </w:pPr>
            <w:r w:rsidRPr="00B83BBC">
              <w:rPr>
                <w:b w:val="0"/>
                <w:bCs w:val="0"/>
              </w:rPr>
              <w:t>s16</w:t>
            </w:r>
            <w:proofErr w:type="gramStart"/>
            <w:r w:rsidRPr="00B83BBC">
              <w:rPr>
                <w:b w:val="0"/>
                <w:bCs w:val="0"/>
              </w:rPr>
              <w:t>E(</w:t>
            </w:r>
            <w:proofErr w:type="gramEnd"/>
            <w:r w:rsidRPr="00B83BBC">
              <w:rPr>
                <w:b w:val="0"/>
                <w:bCs w:val="0"/>
              </w:rPr>
              <w:t>2) item 3 of PGPA Rule</w:t>
            </w:r>
          </w:p>
        </w:tc>
        <w:tc>
          <w:tcPr>
            <w:tcW w:w="1012" w:type="pct"/>
            <w:shd w:val="clear" w:color="auto" w:fill="F2F2F2" w:themeFill="background1" w:themeFillShade="F2"/>
            <w:hideMark/>
          </w:tcPr>
          <w:p w:rsidRPr="00B83BBC" w:rsidR="00E80C91" w:rsidP="00620EF4" w:rsidRDefault="00E80C91" w14:paraId="540B9C1B" w14:textId="77777777">
            <w:pPr>
              <w:spacing w:after="60"/>
              <w:cnfStyle w:val="000000000000" w:firstRow="0" w:lastRow="0" w:firstColumn="0" w:lastColumn="0" w:oddVBand="0" w:evenVBand="0" w:oddHBand="0" w:evenHBand="0" w:firstRowFirstColumn="0" w:firstRowLastColumn="0" w:lastRowFirstColumn="0" w:lastRowLastColumn="0"/>
            </w:pPr>
            <w:r w:rsidRPr="00B83BBC">
              <w:t>Key activities</w:t>
            </w:r>
          </w:p>
        </w:tc>
        <w:tc>
          <w:tcPr>
            <w:tcW w:w="2235" w:type="pct"/>
            <w:shd w:val="clear" w:color="auto" w:fill="F2F2F2" w:themeFill="background1" w:themeFillShade="F2"/>
            <w:hideMark/>
          </w:tcPr>
          <w:p w:rsidRPr="0060187C" w:rsidR="00E80C91" w:rsidP="00620EF4" w:rsidRDefault="00E80C91" w14:paraId="5C709CBC" w14:textId="16396D2A">
            <w:pPr>
              <w:spacing w:after="60"/>
              <w:cnfStyle w:val="000000000000" w:firstRow="0" w:lastRow="0" w:firstColumn="0" w:lastColumn="0" w:oddVBand="0" w:evenVBand="0" w:oddHBand="0" w:evenHBand="0" w:firstRowFirstColumn="0" w:firstRowLastColumn="0" w:lastRowFirstColumn="0" w:lastRowLastColumn="0"/>
            </w:pPr>
            <w:r w:rsidRPr="0060187C">
              <w:t xml:space="preserve">For entire period covered by the plan, the key activities that the entity will undertake </w:t>
            </w:r>
            <w:proofErr w:type="gramStart"/>
            <w:r w:rsidRPr="0060187C">
              <w:t>in order to</w:t>
            </w:r>
            <w:proofErr w:type="gramEnd"/>
            <w:r w:rsidRPr="0060187C">
              <w:t xml:space="preserve"> achieve its purposes.</w:t>
            </w:r>
          </w:p>
        </w:tc>
        <w:tc>
          <w:tcPr>
            <w:tcW w:w="675" w:type="pct"/>
            <w:shd w:val="clear" w:color="auto" w:fill="F2F2F2" w:themeFill="background1" w:themeFillShade="F2"/>
          </w:tcPr>
          <w:p w:rsidRPr="00157ADB" w:rsidR="00E80C91" w:rsidP="00620EF4" w:rsidRDefault="004E4E9D" w14:paraId="6739CBD6" w14:textId="306BED64">
            <w:pPr>
              <w:spacing w:after="60"/>
              <w:cnfStyle w:val="000000000000" w:firstRow="0" w:lastRow="0" w:firstColumn="0" w:lastColumn="0" w:oddVBand="0" w:evenVBand="0" w:oddHBand="0" w:evenHBand="0" w:firstRowFirstColumn="0" w:firstRowLastColumn="0" w:lastRowFirstColumn="0" w:lastRowLastColumn="0"/>
            </w:pPr>
            <w:r w:rsidRPr="00157ADB">
              <w:t>9</w:t>
            </w:r>
          </w:p>
        </w:tc>
      </w:tr>
      <w:tr w:rsidRPr="0060187C" w:rsidR="00E80C91" w:rsidTr="00620EF4" w14:paraId="7A2E52A4" w14:textId="77777777">
        <w:tc>
          <w:tcPr>
            <w:cnfStyle w:val="001000000000" w:firstRow="0" w:lastRow="0" w:firstColumn="1" w:lastColumn="0" w:oddVBand="0" w:evenVBand="0" w:oddHBand="0" w:evenHBand="0" w:firstRowFirstColumn="0" w:firstRowLastColumn="0" w:lastRowFirstColumn="0" w:lastRowLastColumn="0"/>
            <w:tcW w:w="1079" w:type="pct"/>
            <w:shd w:val="clear" w:color="auto" w:fill="D1D1D1" w:themeFill="background2" w:themeFillShade="E6"/>
          </w:tcPr>
          <w:p w:rsidRPr="00B83BBC" w:rsidR="00E80C91" w:rsidP="00620EF4" w:rsidRDefault="00E80C91" w14:paraId="521A21DA" w14:textId="77777777">
            <w:pPr>
              <w:spacing w:after="60"/>
              <w:rPr>
                <w:b w:val="0"/>
                <w:bCs w:val="0"/>
              </w:rPr>
            </w:pPr>
            <w:r w:rsidRPr="00B83BBC">
              <w:rPr>
                <w:b w:val="0"/>
                <w:bCs w:val="0"/>
              </w:rPr>
              <w:t>s16</w:t>
            </w:r>
            <w:proofErr w:type="gramStart"/>
            <w:r w:rsidRPr="00B83BBC">
              <w:rPr>
                <w:b w:val="0"/>
                <w:bCs w:val="0"/>
              </w:rPr>
              <w:t>E(</w:t>
            </w:r>
            <w:proofErr w:type="gramEnd"/>
            <w:r w:rsidRPr="00B83BBC">
              <w:rPr>
                <w:b w:val="0"/>
                <w:bCs w:val="0"/>
              </w:rPr>
              <w:t>2) item 4 of the PGPA Rule</w:t>
            </w:r>
          </w:p>
        </w:tc>
        <w:tc>
          <w:tcPr>
            <w:tcW w:w="1012" w:type="pct"/>
            <w:shd w:val="clear" w:color="auto" w:fill="D1D1D1" w:themeFill="background2" w:themeFillShade="E6"/>
            <w:hideMark/>
          </w:tcPr>
          <w:p w:rsidRPr="00B83BBC" w:rsidR="00E80C91" w:rsidP="00620EF4" w:rsidRDefault="00E80C91" w14:paraId="4F9183D5" w14:textId="77777777">
            <w:pPr>
              <w:spacing w:after="60"/>
              <w:cnfStyle w:val="000000000000" w:firstRow="0" w:lastRow="0" w:firstColumn="0" w:lastColumn="0" w:oddVBand="0" w:evenVBand="0" w:oddHBand="0" w:evenHBand="0" w:firstRowFirstColumn="0" w:firstRowLastColumn="0" w:lastRowFirstColumn="0" w:lastRowLastColumn="0"/>
            </w:pPr>
            <w:r w:rsidRPr="00B83BBC">
              <w:t>Operating context</w:t>
            </w:r>
          </w:p>
        </w:tc>
        <w:tc>
          <w:tcPr>
            <w:tcW w:w="2235" w:type="pct"/>
            <w:shd w:val="clear" w:color="auto" w:fill="D1D1D1" w:themeFill="background2" w:themeFillShade="E6"/>
            <w:hideMark/>
          </w:tcPr>
          <w:p w:rsidRPr="0060187C" w:rsidR="00E80C91" w:rsidP="00620EF4" w:rsidRDefault="00E80C91" w14:paraId="1C7B61D7" w14:textId="77777777">
            <w:pPr>
              <w:spacing w:after="60"/>
              <w:cnfStyle w:val="000000000000" w:firstRow="0" w:lastRow="0" w:firstColumn="0" w:lastColumn="0" w:oddVBand="0" w:evenVBand="0" w:oddHBand="0" w:evenHBand="0" w:firstRowFirstColumn="0" w:firstRowLastColumn="0" w:lastRowFirstColumn="0" w:lastRowLastColumn="0"/>
            </w:pPr>
            <w:r w:rsidRPr="0060187C">
              <w:t>For the entire period covered by the plan, the following:</w:t>
            </w:r>
          </w:p>
        </w:tc>
        <w:tc>
          <w:tcPr>
            <w:tcW w:w="675" w:type="pct"/>
            <w:shd w:val="clear" w:color="auto" w:fill="D1D1D1" w:themeFill="background2" w:themeFillShade="E6"/>
          </w:tcPr>
          <w:p w:rsidRPr="00157ADB" w:rsidR="00E80C91" w:rsidP="00620EF4" w:rsidRDefault="004D3227" w14:paraId="44653851" w14:textId="3931444C">
            <w:pPr>
              <w:spacing w:after="60"/>
              <w:cnfStyle w:val="000000000000" w:firstRow="0" w:lastRow="0" w:firstColumn="0" w:lastColumn="0" w:oddVBand="0" w:evenVBand="0" w:oddHBand="0" w:evenHBand="0" w:firstRowFirstColumn="0" w:firstRowLastColumn="0" w:lastRowFirstColumn="0" w:lastRowLastColumn="0"/>
            </w:pPr>
            <w:r w:rsidRPr="00157ADB">
              <w:t>10-12</w:t>
            </w:r>
          </w:p>
        </w:tc>
      </w:tr>
      <w:tr w:rsidRPr="0060187C" w:rsidR="00E80C91" w:rsidTr="00620EF4" w14:paraId="5667FF82" w14:textId="77777777">
        <w:tc>
          <w:tcPr>
            <w:cnfStyle w:val="001000000000" w:firstRow="0" w:lastRow="0" w:firstColumn="1" w:lastColumn="0" w:oddVBand="0" w:evenVBand="0" w:oddHBand="0" w:evenHBand="0" w:firstRowFirstColumn="0" w:firstRowLastColumn="0" w:lastRowFirstColumn="0" w:lastRowLastColumn="0"/>
            <w:tcW w:w="1079" w:type="pct"/>
            <w:shd w:val="clear" w:color="auto" w:fill="F2F2F2" w:themeFill="background1" w:themeFillShade="F2"/>
          </w:tcPr>
          <w:p w:rsidRPr="00B83BBC" w:rsidR="00E80C91" w:rsidP="00620EF4" w:rsidRDefault="00E80C91" w14:paraId="5E2547E6" w14:textId="751075EC">
            <w:pPr>
              <w:spacing w:after="60"/>
              <w:rPr>
                <w:b w:val="0"/>
                <w:bCs w:val="0"/>
              </w:rPr>
            </w:pPr>
            <w:r w:rsidRPr="00B83BBC">
              <w:rPr>
                <w:b w:val="0"/>
                <w:bCs w:val="0"/>
              </w:rPr>
              <w:t>s16</w:t>
            </w:r>
            <w:proofErr w:type="gramStart"/>
            <w:r w:rsidRPr="00B83BBC">
              <w:rPr>
                <w:b w:val="0"/>
                <w:bCs w:val="0"/>
              </w:rPr>
              <w:t>E(</w:t>
            </w:r>
            <w:proofErr w:type="gramEnd"/>
            <w:r w:rsidRPr="00B83BBC">
              <w:rPr>
                <w:b w:val="0"/>
                <w:bCs w:val="0"/>
              </w:rPr>
              <w:t>2) item 4(a) of PGPA Rule</w:t>
            </w:r>
          </w:p>
        </w:tc>
        <w:tc>
          <w:tcPr>
            <w:tcW w:w="1012" w:type="pct"/>
            <w:shd w:val="clear" w:color="auto" w:fill="F2F2F2" w:themeFill="background1" w:themeFillShade="F2"/>
          </w:tcPr>
          <w:p w:rsidRPr="00B83BBC" w:rsidR="00E80C91" w:rsidP="00620EF4" w:rsidRDefault="00E80C91" w14:paraId="5744392A" w14:textId="77777777">
            <w:pPr>
              <w:pStyle w:val="ListParagraph"/>
              <w:numPr>
                <w:ilvl w:val="0"/>
                <w:numId w:val="37"/>
              </w:numPr>
              <w:tabs>
                <w:tab w:val="clear" w:pos="567"/>
                <w:tab w:val="clear" w:pos="1134"/>
                <w:tab w:val="clear" w:pos="1701"/>
                <w:tab w:val="clear" w:pos="2268"/>
              </w:tabs>
              <w:suppressAutoHyphens/>
              <w:spacing w:after="60"/>
              <w:contextualSpacing w:val="0"/>
              <w:cnfStyle w:val="000000000000" w:firstRow="0" w:lastRow="0" w:firstColumn="0" w:lastColumn="0" w:oddVBand="0" w:evenVBand="0" w:oddHBand="0" w:evenHBand="0" w:firstRowFirstColumn="0" w:firstRowLastColumn="0" w:lastRowFirstColumn="0" w:lastRowLastColumn="0"/>
            </w:pPr>
            <w:r w:rsidRPr="00B83BBC">
              <w:t>Environment</w:t>
            </w:r>
          </w:p>
        </w:tc>
        <w:tc>
          <w:tcPr>
            <w:tcW w:w="2235" w:type="pct"/>
            <w:shd w:val="clear" w:color="auto" w:fill="F2F2F2" w:themeFill="background1" w:themeFillShade="F2"/>
          </w:tcPr>
          <w:p w:rsidRPr="0060187C" w:rsidR="00E80C91" w:rsidP="00620EF4" w:rsidRDefault="00620EF4" w14:paraId="6F51EEB3" w14:textId="341DA838">
            <w:pPr>
              <w:pStyle w:val="ListParagraph"/>
              <w:numPr>
                <w:ilvl w:val="0"/>
                <w:numId w:val="34"/>
              </w:numPr>
              <w:tabs>
                <w:tab w:val="clear" w:pos="567"/>
                <w:tab w:val="clear" w:pos="1134"/>
                <w:tab w:val="clear" w:pos="1701"/>
                <w:tab w:val="clear" w:pos="2268"/>
              </w:tabs>
              <w:suppressAutoHyphens/>
              <w:spacing w:after="60"/>
              <w:ind w:left="476" w:hanging="476"/>
              <w:contextualSpacing w:val="0"/>
              <w:cnfStyle w:val="000000000000" w:firstRow="0" w:lastRow="0" w:firstColumn="0" w:lastColumn="0" w:oddVBand="0" w:evenVBand="0" w:oddHBand="0" w:evenHBand="0" w:firstRowFirstColumn="0" w:firstRowLastColumn="0" w:lastRowFirstColumn="0" w:lastRowLastColumn="0"/>
            </w:pPr>
            <w:r>
              <w:t>E</w:t>
            </w:r>
            <w:r w:rsidRPr="0060187C" w:rsidR="00E80C91">
              <w:t>nvironment in which entity will operate;</w:t>
            </w:r>
          </w:p>
        </w:tc>
        <w:tc>
          <w:tcPr>
            <w:tcW w:w="675" w:type="pct"/>
            <w:shd w:val="clear" w:color="auto" w:fill="F2F2F2" w:themeFill="background1" w:themeFillShade="F2"/>
          </w:tcPr>
          <w:p w:rsidRPr="00157ADB" w:rsidR="00E80C91" w:rsidP="00620EF4" w:rsidRDefault="004D3227" w14:paraId="353F3F31" w14:textId="36F66C8D">
            <w:pPr>
              <w:spacing w:after="60"/>
              <w:cnfStyle w:val="000000000000" w:firstRow="0" w:lastRow="0" w:firstColumn="0" w:lastColumn="0" w:oddVBand="0" w:evenVBand="0" w:oddHBand="0" w:evenHBand="0" w:firstRowFirstColumn="0" w:firstRowLastColumn="0" w:lastRowFirstColumn="0" w:lastRowLastColumn="0"/>
            </w:pPr>
            <w:r w:rsidRPr="00157ADB">
              <w:t>10</w:t>
            </w:r>
          </w:p>
        </w:tc>
      </w:tr>
      <w:tr w:rsidRPr="0060187C" w:rsidR="00E80C91" w:rsidTr="00620EF4" w14:paraId="23F8371C" w14:textId="77777777">
        <w:tc>
          <w:tcPr>
            <w:cnfStyle w:val="001000000000" w:firstRow="0" w:lastRow="0" w:firstColumn="1" w:lastColumn="0" w:oddVBand="0" w:evenVBand="0" w:oddHBand="0" w:evenHBand="0" w:firstRowFirstColumn="0" w:firstRowLastColumn="0" w:lastRowFirstColumn="0" w:lastRowLastColumn="0"/>
            <w:tcW w:w="1079" w:type="pct"/>
            <w:shd w:val="clear" w:color="auto" w:fill="D1D1D1" w:themeFill="background2" w:themeFillShade="E6"/>
          </w:tcPr>
          <w:p w:rsidRPr="00B83BBC" w:rsidR="00E80C91" w:rsidP="00620EF4" w:rsidRDefault="00E80C91" w14:paraId="6EC20DB8" w14:textId="70CAB72E">
            <w:pPr>
              <w:spacing w:after="60"/>
              <w:rPr>
                <w:b w:val="0"/>
                <w:bCs w:val="0"/>
              </w:rPr>
            </w:pPr>
            <w:r w:rsidRPr="00B83BBC">
              <w:rPr>
                <w:b w:val="0"/>
                <w:bCs w:val="0"/>
              </w:rPr>
              <w:t>16</w:t>
            </w:r>
            <w:proofErr w:type="gramStart"/>
            <w:r w:rsidRPr="00B83BBC">
              <w:rPr>
                <w:b w:val="0"/>
                <w:bCs w:val="0"/>
              </w:rPr>
              <w:t>E(</w:t>
            </w:r>
            <w:proofErr w:type="gramEnd"/>
            <w:r w:rsidRPr="00B83BBC">
              <w:rPr>
                <w:b w:val="0"/>
                <w:bCs w:val="0"/>
              </w:rPr>
              <w:t>2) item 4(b) of PGPA Rule</w:t>
            </w:r>
          </w:p>
        </w:tc>
        <w:tc>
          <w:tcPr>
            <w:tcW w:w="1012" w:type="pct"/>
            <w:shd w:val="clear" w:color="auto" w:fill="D1D1D1" w:themeFill="background2" w:themeFillShade="E6"/>
          </w:tcPr>
          <w:p w:rsidRPr="00B83BBC" w:rsidR="00E80C91" w:rsidP="00620EF4" w:rsidRDefault="00E80C91" w14:paraId="25953079" w14:textId="77777777">
            <w:pPr>
              <w:pStyle w:val="ListParagraph"/>
              <w:numPr>
                <w:ilvl w:val="0"/>
                <w:numId w:val="34"/>
              </w:numPr>
              <w:tabs>
                <w:tab w:val="clear" w:pos="567"/>
                <w:tab w:val="clear" w:pos="1134"/>
                <w:tab w:val="clear" w:pos="1701"/>
                <w:tab w:val="clear" w:pos="2268"/>
              </w:tabs>
              <w:suppressAutoHyphens/>
              <w:spacing w:after="60"/>
              <w:contextualSpacing w:val="0"/>
              <w:cnfStyle w:val="000000000000" w:firstRow="0" w:lastRow="0" w:firstColumn="0" w:lastColumn="0" w:oddVBand="0" w:evenVBand="0" w:oddHBand="0" w:evenHBand="0" w:firstRowFirstColumn="0" w:firstRowLastColumn="0" w:lastRowFirstColumn="0" w:lastRowLastColumn="0"/>
            </w:pPr>
            <w:r w:rsidRPr="00B83BBC">
              <w:t>Capability</w:t>
            </w:r>
          </w:p>
        </w:tc>
        <w:tc>
          <w:tcPr>
            <w:tcW w:w="2235" w:type="pct"/>
            <w:shd w:val="clear" w:color="auto" w:fill="D1D1D1" w:themeFill="background2" w:themeFillShade="E6"/>
          </w:tcPr>
          <w:p w:rsidRPr="0060187C" w:rsidR="00E80C91" w:rsidP="00620EF4" w:rsidRDefault="00620EF4" w14:paraId="677169B2" w14:textId="1B8A0093">
            <w:pPr>
              <w:pStyle w:val="ListParagraph"/>
              <w:numPr>
                <w:ilvl w:val="0"/>
                <w:numId w:val="38"/>
              </w:numPr>
              <w:tabs>
                <w:tab w:val="clear" w:pos="567"/>
                <w:tab w:val="clear" w:pos="1134"/>
                <w:tab w:val="clear" w:pos="1701"/>
                <w:tab w:val="clear" w:pos="2268"/>
              </w:tabs>
              <w:suppressAutoHyphens/>
              <w:spacing w:after="60"/>
              <w:ind w:left="476" w:hanging="476"/>
              <w:contextualSpacing w:val="0"/>
              <w:cnfStyle w:val="000000000000" w:firstRow="0" w:lastRow="0" w:firstColumn="0" w:lastColumn="0" w:oddVBand="0" w:evenVBand="0" w:oddHBand="0" w:evenHBand="0" w:firstRowFirstColumn="0" w:firstRowLastColumn="0" w:lastRowFirstColumn="0" w:lastRowLastColumn="0"/>
            </w:pPr>
            <w:r>
              <w:t>S</w:t>
            </w:r>
            <w:r w:rsidRPr="0060187C" w:rsidR="00E80C91">
              <w:t>trategies and plans the entity will implement to have the capability it needs to undertake its key activities and achieve its purposes;</w:t>
            </w:r>
          </w:p>
        </w:tc>
        <w:tc>
          <w:tcPr>
            <w:tcW w:w="675" w:type="pct"/>
            <w:shd w:val="clear" w:color="auto" w:fill="D1D1D1" w:themeFill="background2" w:themeFillShade="E6"/>
          </w:tcPr>
          <w:p w:rsidRPr="00157ADB" w:rsidR="00E80C91" w:rsidP="00620EF4" w:rsidRDefault="00C27E2C" w14:paraId="04F0C668" w14:textId="527CCE81">
            <w:pPr>
              <w:spacing w:after="60"/>
              <w:cnfStyle w:val="000000000000" w:firstRow="0" w:lastRow="0" w:firstColumn="0" w:lastColumn="0" w:oddVBand="0" w:evenVBand="0" w:oddHBand="0" w:evenHBand="0" w:firstRowFirstColumn="0" w:firstRowLastColumn="0" w:lastRowFirstColumn="0" w:lastRowLastColumn="0"/>
            </w:pPr>
            <w:r w:rsidRPr="00157ADB">
              <w:t>1</w:t>
            </w:r>
            <w:r w:rsidR="001C7F6F">
              <w:t>0-1</w:t>
            </w:r>
            <w:r w:rsidRPr="00157ADB">
              <w:t>1</w:t>
            </w:r>
          </w:p>
        </w:tc>
      </w:tr>
      <w:tr w:rsidRPr="0060187C" w:rsidR="00E80C91" w:rsidTr="00620EF4" w14:paraId="32D0CF09" w14:textId="77777777">
        <w:tc>
          <w:tcPr>
            <w:cnfStyle w:val="001000000000" w:firstRow="0" w:lastRow="0" w:firstColumn="1" w:lastColumn="0" w:oddVBand="0" w:evenVBand="0" w:oddHBand="0" w:evenHBand="0" w:firstRowFirstColumn="0" w:firstRowLastColumn="0" w:lastRowFirstColumn="0" w:lastRowLastColumn="0"/>
            <w:tcW w:w="1079" w:type="pct"/>
            <w:shd w:val="clear" w:color="auto" w:fill="F2F2F2" w:themeFill="background1" w:themeFillShade="F2"/>
          </w:tcPr>
          <w:p w:rsidRPr="00B83BBC" w:rsidR="00E80C91" w:rsidP="00620EF4" w:rsidRDefault="00E80C91" w14:paraId="0466F0E9" w14:textId="2BE25F81">
            <w:pPr>
              <w:spacing w:after="60"/>
              <w:rPr>
                <w:b w:val="0"/>
                <w:bCs w:val="0"/>
              </w:rPr>
            </w:pPr>
            <w:r w:rsidRPr="00B83BBC">
              <w:rPr>
                <w:b w:val="0"/>
                <w:bCs w:val="0"/>
              </w:rPr>
              <w:t>s16</w:t>
            </w:r>
            <w:proofErr w:type="gramStart"/>
            <w:r w:rsidRPr="00B83BBC">
              <w:rPr>
                <w:b w:val="0"/>
                <w:bCs w:val="0"/>
              </w:rPr>
              <w:t>E(</w:t>
            </w:r>
            <w:proofErr w:type="gramEnd"/>
            <w:r w:rsidRPr="00B83BBC">
              <w:rPr>
                <w:b w:val="0"/>
                <w:bCs w:val="0"/>
              </w:rPr>
              <w:t>2) item 4(c) of PGPA Rule</w:t>
            </w:r>
          </w:p>
        </w:tc>
        <w:tc>
          <w:tcPr>
            <w:tcW w:w="1012" w:type="pct"/>
            <w:shd w:val="clear" w:color="auto" w:fill="F2F2F2" w:themeFill="background1" w:themeFillShade="F2"/>
          </w:tcPr>
          <w:p w:rsidRPr="00B83BBC" w:rsidR="00E80C91" w:rsidP="00620EF4" w:rsidRDefault="00E80C91" w14:paraId="7C34D5E9" w14:textId="77777777">
            <w:pPr>
              <w:pStyle w:val="ListParagraph"/>
              <w:numPr>
                <w:ilvl w:val="0"/>
                <w:numId w:val="34"/>
              </w:numPr>
              <w:tabs>
                <w:tab w:val="clear" w:pos="567"/>
                <w:tab w:val="clear" w:pos="1134"/>
                <w:tab w:val="clear" w:pos="1701"/>
                <w:tab w:val="clear" w:pos="2268"/>
              </w:tabs>
              <w:suppressAutoHyphens/>
              <w:spacing w:after="60"/>
              <w:contextualSpacing w:val="0"/>
              <w:cnfStyle w:val="000000000000" w:firstRow="0" w:lastRow="0" w:firstColumn="0" w:lastColumn="0" w:oddVBand="0" w:evenVBand="0" w:oddHBand="0" w:evenHBand="0" w:firstRowFirstColumn="0" w:firstRowLastColumn="0" w:lastRowFirstColumn="0" w:lastRowLastColumn="0"/>
            </w:pPr>
            <w:r w:rsidRPr="00B83BBC">
              <w:t>Risk</w:t>
            </w:r>
          </w:p>
        </w:tc>
        <w:tc>
          <w:tcPr>
            <w:tcW w:w="2235" w:type="pct"/>
            <w:shd w:val="clear" w:color="auto" w:fill="F2F2F2" w:themeFill="background1" w:themeFillShade="F2"/>
          </w:tcPr>
          <w:p w:rsidRPr="0060187C" w:rsidR="00E80C91" w:rsidP="00620EF4" w:rsidRDefault="00620EF4" w14:paraId="11FF3F7D" w14:textId="0EFE2E93">
            <w:pPr>
              <w:pStyle w:val="ListParagraph"/>
              <w:numPr>
                <w:ilvl w:val="0"/>
                <w:numId w:val="38"/>
              </w:numPr>
              <w:tabs>
                <w:tab w:val="clear" w:pos="567"/>
                <w:tab w:val="clear" w:pos="1134"/>
                <w:tab w:val="clear" w:pos="1701"/>
                <w:tab w:val="clear" w:pos="2268"/>
              </w:tabs>
              <w:suppressAutoHyphens/>
              <w:spacing w:after="60"/>
              <w:ind w:left="476" w:hanging="476"/>
              <w:contextualSpacing w:val="0"/>
              <w:cnfStyle w:val="000000000000" w:firstRow="0" w:lastRow="0" w:firstColumn="0" w:lastColumn="0" w:oddVBand="0" w:evenVBand="0" w:oddHBand="0" w:evenHBand="0" w:firstRowFirstColumn="0" w:firstRowLastColumn="0" w:lastRowFirstColumn="0" w:lastRowLastColumn="0"/>
            </w:pPr>
            <w:r>
              <w:t>S</w:t>
            </w:r>
            <w:r w:rsidRPr="0060187C" w:rsidR="00E80C91">
              <w:t xml:space="preserve">ummary of </w:t>
            </w:r>
            <w:r>
              <w:t xml:space="preserve">entity’s </w:t>
            </w:r>
            <w:r w:rsidRPr="0060187C" w:rsidR="00E80C91">
              <w:t>risk oversight and management systems, and the key risks the entity will manage and how those risks will be managed;</w:t>
            </w:r>
          </w:p>
        </w:tc>
        <w:tc>
          <w:tcPr>
            <w:tcW w:w="675" w:type="pct"/>
            <w:shd w:val="clear" w:color="auto" w:fill="F2F2F2" w:themeFill="background1" w:themeFillShade="F2"/>
          </w:tcPr>
          <w:p w:rsidRPr="00157ADB" w:rsidR="00E80C91" w:rsidP="00620EF4" w:rsidRDefault="00C27E2C" w14:paraId="08334AFF" w14:textId="6B3BD014">
            <w:pPr>
              <w:spacing w:after="60"/>
              <w:cnfStyle w:val="000000000000" w:firstRow="0" w:lastRow="0" w:firstColumn="0" w:lastColumn="0" w:oddVBand="0" w:evenVBand="0" w:oddHBand="0" w:evenHBand="0" w:firstRowFirstColumn="0" w:firstRowLastColumn="0" w:lastRowFirstColumn="0" w:lastRowLastColumn="0"/>
            </w:pPr>
            <w:r w:rsidRPr="00157ADB">
              <w:t>13</w:t>
            </w:r>
            <w:r w:rsidRPr="00157ADB" w:rsidR="00D8130C">
              <w:t>-14</w:t>
            </w:r>
          </w:p>
        </w:tc>
      </w:tr>
      <w:tr w:rsidRPr="0060187C" w:rsidR="00E80C91" w:rsidTr="00620EF4" w14:paraId="5ED86934" w14:textId="77777777">
        <w:tc>
          <w:tcPr>
            <w:cnfStyle w:val="001000000000" w:firstRow="0" w:lastRow="0" w:firstColumn="1" w:lastColumn="0" w:oddVBand="0" w:evenVBand="0" w:oddHBand="0" w:evenHBand="0" w:firstRowFirstColumn="0" w:firstRowLastColumn="0" w:lastRowFirstColumn="0" w:lastRowLastColumn="0"/>
            <w:tcW w:w="1079" w:type="pct"/>
            <w:shd w:val="clear" w:color="auto" w:fill="D1D1D1" w:themeFill="background2" w:themeFillShade="E6"/>
          </w:tcPr>
          <w:p w:rsidRPr="00B83BBC" w:rsidR="00E80C91" w:rsidP="00620EF4" w:rsidRDefault="00E80C91" w14:paraId="0FA3612B" w14:textId="2676966E">
            <w:pPr>
              <w:spacing w:after="60"/>
              <w:rPr>
                <w:b w:val="0"/>
                <w:bCs w:val="0"/>
              </w:rPr>
            </w:pPr>
            <w:r w:rsidRPr="00B83BBC">
              <w:rPr>
                <w:b w:val="0"/>
                <w:bCs w:val="0"/>
              </w:rPr>
              <w:t>s16</w:t>
            </w:r>
            <w:proofErr w:type="gramStart"/>
            <w:r w:rsidRPr="00B83BBC">
              <w:rPr>
                <w:b w:val="0"/>
                <w:bCs w:val="0"/>
              </w:rPr>
              <w:t>E(</w:t>
            </w:r>
            <w:proofErr w:type="gramEnd"/>
            <w:r w:rsidRPr="00B83BBC">
              <w:rPr>
                <w:b w:val="0"/>
                <w:bCs w:val="0"/>
              </w:rPr>
              <w:t>2) item 4(d) of PGPA Rule</w:t>
            </w:r>
          </w:p>
        </w:tc>
        <w:tc>
          <w:tcPr>
            <w:tcW w:w="1012" w:type="pct"/>
            <w:shd w:val="clear" w:color="auto" w:fill="D1D1D1" w:themeFill="background2" w:themeFillShade="E6"/>
          </w:tcPr>
          <w:p w:rsidRPr="00B83BBC" w:rsidR="00E80C91" w:rsidP="00620EF4" w:rsidRDefault="00E80C91" w14:paraId="09D35A62" w14:textId="77777777">
            <w:pPr>
              <w:pStyle w:val="ListParagraph"/>
              <w:numPr>
                <w:ilvl w:val="0"/>
                <w:numId w:val="38"/>
              </w:numPr>
              <w:tabs>
                <w:tab w:val="clear" w:pos="567"/>
                <w:tab w:val="clear" w:pos="1134"/>
                <w:tab w:val="clear" w:pos="1701"/>
                <w:tab w:val="clear" w:pos="2268"/>
              </w:tabs>
              <w:suppressAutoHyphens/>
              <w:spacing w:after="60"/>
              <w:contextualSpacing w:val="0"/>
              <w:cnfStyle w:val="000000000000" w:firstRow="0" w:lastRow="0" w:firstColumn="0" w:lastColumn="0" w:oddVBand="0" w:evenVBand="0" w:oddHBand="0" w:evenHBand="0" w:firstRowFirstColumn="0" w:firstRowLastColumn="0" w:lastRowFirstColumn="0" w:lastRowLastColumn="0"/>
            </w:pPr>
            <w:r w:rsidRPr="00B83BBC">
              <w:t>Cooperation</w:t>
            </w:r>
          </w:p>
        </w:tc>
        <w:tc>
          <w:tcPr>
            <w:tcW w:w="2235" w:type="pct"/>
            <w:shd w:val="clear" w:color="auto" w:fill="D1D1D1" w:themeFill="background2" w:themeFillShade="E6"/>
          </w:tcPr>
          <w:p w:rsidRPr="0060187C" w:rsidR="00E80C91" w:rsidP="00620EF4" w:rsidRDefault="00620EF4" w14:paraId="0C3F1814" w14:textId="5DCADB17">
            <w:pPr>
              <w:pStyle w:val="ListParagraph"/>
              <w:numPr>
                <w:ilvl w:val="0"/>
                <w:numId w:val="39"/>
              </w:numPr>
              <w:tabs>
                <w:tab w:val="clear" w:pos="567"/>
                <w:tab w:val="clear" w:pos="1134"/>
                <w:tab w:val="clear" w:pos="1701"/>
                <w:tab w:val="clear" w:pos="2268"/>
              </w:tabs>
              <w:suppressAutoHyphens/>
              <w:spacing w:after="60"/>
              <w:ind w:left="476" w:hanging="476"/>
              <w:contextualSpacing w:val="0"/>
              <w:cnfStyle w:val="000000000000" w:firstRow="0" w:lastRow="0" w:firstColumn="0" w:lastColumn="0" w:oddVBand="0" w:evenVBand="0" w:oddHBand="0" w:evenHBand="0" w:firstRowFirstColumn="0" w:firstRowLastColumn="0" w:lastRowFirstColumn="0" w:lastRowLastColumn="0"/>
            </w:pPr>
            <w:r>
              <w:t>D</w:t>
            </w:r>
            <w:r w:rsidRPr="0060187C" w:rsidR="00E80C91">
              <w:t>etails of any organisation or body that will make a significant contribution towards achieving entity’s purposes through cooperation with entity, including how that cooperation will help achieve those purposes;</w:t>
            </w:r>
          </w:p>
        </w:tc>
        <w:tc>
          <w:tcPr>
            <w:tcW w:w="675" w:type="pct"/>
            <w:shd w:val="clear" w:color="auto" w:fill="D1D1D1" w:themeFill="background2" w:themeFillShade="E6"/>
          </w:tcPr>
          <w:p w:rsidRPr="00157ADB" w:rsidR="00E80C91" w:rsidP="00620EF4" w:rsidRDefault="00C27E2C" w14:paraId="6B8B6CC3" w14:textId="5FD38FD1">
            <w:pPr>
              <w:spacing w:after="60"/>
              <w:cnfStyle w:val="000000000000" w:firstRow="0" w:lastRow="0" w:firstColumn="0" w:lastColumn="0" w:oddVBand="0" w:evenVBand="0" w:oddHBand="0" w:evenHBand="0" w:firstRowFirstColumn="0" w:firstRowLastColumn="0" w:lastRowFirstColumn="0" w:lastRowLastColumn="0"/>
            </w:pPr>
            <w:r w:rsidRPr="00157ADB">
              <w:t>15</w:t>
            </w:r>
            <w:r w:rsidRPr="00157ADB" w:rsidR="00D8130C">
              <w:t>-16</w:t>
            </w:r>
          </w:p>
        </w:tc>
      </w:tr>
      <w:tr w:rsidRPr="0060187C" w:rsidR="00E80C91" w:rsidTr="00620EF4" w14:paraId="51B1F057" w14:textId="77777777">
        <w:tc>
          <w:tcPr>
            <w:cnfStyle w:val="001000000000" w:firstRow="0" w:lastRow="0" w:firstColumn="1" w:lastColumn="0" w:oddVBand="0" w:evenVBand="0" w:oddHBand="0" w:evenHBand="0" w:firstRowFirstColumn="0" w:firstRowLastColumn="0" w:lastRowFirstColumn="0" w:lastRowLastColumn="0"/>
            <w:tcW w:w="1079" w:type="pct"/>
            <w:shd w:val="clear" w:color="auto" w:fill="F2F2F2" w:themeFill="background1" w:themeFillShade="F2"/>
          </w:tcPr>
          <w:p w:rsidRPr="00B83BBC" w:rsidR="00E80C91" w:rsidP="00620EF4" w:rsidRDefault="00E80C91" w14:paraId="2F48CD2D" w14:textId="2E75C723">
            <w:pPr>
              <w:spacing w:after="60"/>
              <w:rPr>
                <w:b w:val="0"/>
                <w:bCs w:val="0"/>
              </w:rPr>
            </w:pPr>
            <w:r w:rsidRPr="00B83BBC">
              <w:rPr>
                <w:b w:val="0"/>
                <w:bCs w:val="0"/>
              </w:rPr>
              <w:t>s16</w:t>
            </w:r>
            <w:proofErr w:type="gramStart"/>
            <w:r w:rsidRPr="00B83BBC">
              <w:rPr>
                <w:b w:val="0"/>
                <w:bCs w:val="0"/>
              </w:rPr>
              <w:t>E(</w:t>
            </w:r>
            <w:proofErr w:type="gramEnd"/>
            <w:r w:rsidRPr="00B83BBC">
              <w:rPr>
                <w:b w:val="0"/>
                <w:bCs w:val="0"/>
              </w:rPr>
              <w:t>2) item 4(e) of PGPA Rule</w:t>
            </w:r>
          </w:p>
        </w:tc>
        <w:tc>
          <w:tcPr>
            <w:tcW w:w="1012" w:type="pct"/>
            <w:shd w:val="clear" w:color="auto" w:fill="F2F2F2" w:themeFill="background1" w:themeFillShade="F2"/>
          </w:tcPr>
          <w:p w:rsidRPr="00B83BBC" w:rsidR="00E80C91" w:rsidP="00620EF4" w:rsidRDefault="00E80C91" w14:paraId="16F416A9" w14:textId="77777777">
            <w:pPr>
              <w:pStyle w:val="ListParagraph"/>
              <w:numPr>
                <w:ilvl w:val="0"/>
                <w:numId w:val="39"/>
              </w:numPr>
              <w:tabs>
                <w:tab w:val="clear" w:pos="567"/>
                <w:tab w:val="clear" w:pos="1134"/>
                <w:tab w:val="clear" w:pos="1701"/>
                <w:tab w:val="clear" w:pos="2268"/>
              </w:tabs>
              <w:suppressAutoHyphens/>
              <w:spacing w:after="60"/>
              <w:contextualSpacing w:val="0"/>
              <w:cnfStyle w:val="000000000000" w:firstRow="0" w:lastRow="0" w:firstColumn="0" w:lastColumn="0" w:oddVBand="0" w:evenVBand="0" w:oddHBand="0" w:evenHBand="0" w:firstRowFirstColumn="0" w:firstRowLastColumn="0" w:lastRowFirstColumn="0" w:lastRowLastColumn="0"/>
            </w:pPr>
            <w:r w:rsidRPr="00B83BBC">
              <w:t>Subsidiaries</w:t>
            </w:r>
          </w:p>
        </w:tc>
        <w:tc>
          <w:tcPr>
            <w:tcW w:w="2235" w:type="pct"/>
            <w:shd w:val="clear" w:color="auto" w:fill="F2F2F2" w:themeFill="background1" w:themeFillShade="F2"/>
          </w:tcPr>
          <w:p w:rsidRPr="0060187C" w:rsidR="00E80C91" w:rsidP="00620EF4" w:rsidRDefault="00620EF4" w14:paraId="2D1606AC" w14:textId="4A43E9F4">
            <w:pPr>
              <w:pStyle w:val="ListParagraph"/>
              <w:numPr>
                <w:ilvl w:val="0"/>
                <w:numId w:val="40"/>
              </w:numPr>
              <w:tabs>
                <w:tab w:val="clear" w:pos="567"/>
                <w:tab w:val="clear" w:pos="1134"/>
                <w:tab w:val="clear" w:pos="1701"/>
                <w:tab w:val="clear" w:pos="2268"/>
              </w:tabs>
              <w:suppressAutoHyphens/>
              <w:spacing w:after="60"/>
              <w:ind w:left="476" w:hanging="476"/>
              <w:contextualSpacing w:val="0"/>
              <w:cnfStyle w:val="000000000000" w:firstRow="0" w:lastRow="0" w:firstColumn="0" w:lastColumn="0" w:oddVBand="0" w:evenVBand="0" w:oddHBand="0" w:evenHBand="0" w:firstRowFirstColumn="0" w:firstRowLastColumn="0" w:lastRowFirstColumn="0" w:lastRowLastColumn="0"/>
            </w:pPr>
            <w:r>
              <w:t>H</w:t>
            </w:r>
            <w:r w:rsidRPr="0060187C" w:rsidR="00E80C91">
              <w:t>ow any subsidiary will contribute to achieving entity’s purposes.</w:t>
            </w:r>
          </w:p>
        </w:tc>
        <w:tc>
          <w:tcPr>
            <w:tcW w:w="675" w:type="pct"/>
            <w:shd w:val="clear" w:color="auto" w:fill="F2F2F2" w:themeFill="background1" w:themeFillShade="F2"/>
          </w:tcPr>
          <w:p w:rsidRPr="00157ADB" w:rsidR="00E80C91" w:rsidP="00620EF4" w:rsidRDefault="00D8130C" w14:paraId="410AAD94" w14:textId="13FDB840">
            <w:pPr>
              <w:spacing w:after="60"/>
              <w:cnfStyle w:val="000000000000" w:firstRow="0" w:lastRow="0" w:firstColumn="0" w:lastColumn="0" w:oddVBand="0" w:evenVBand="0" w:oddHBand="0" w:evenHBand="0" w:firstRowFirstColumn="0" w:firstRowLastColumn="0" w:lastRowFirstColumn="0" w:lastRowLastColumn="0"/>
            </w:pPr>
            <w:r w:rsidRPr="00157ADB">
              <w:t>N/A</w:t>
            </w:r>
          </w:p>
        </w:tc>
      </w:tr>
      <w:tr w:rsidRPr="0060187C" w:rsidR="00E80C91" w:rsidTr="00620EF4" w14:paraId="1379B2DE" w14:textId="77777777">
        <w:tc>
          <w:tcPr>
            <w:cnfStyle w:val="001000000000" w:firstRow="0" w:lastRow="0" w:firstColumn="1" w:lastColumn="0" w:oddVBand="0" w:evenVBand="0" w:oddHBand="0" w:evenHBand="0" w:firstRowFirstColumn="0" w:firstRowLastColumn="0" w:lastRowFirstColumn="0" w:lastRowLastColumn="0"/>
            <w:tcW w:w="1079" w:type="pct"/>
            <w:shd w:val="clear" w:color="auto" w:fill="D1D1D1" w:themeFill="background2" w:themeFillShade="E6"/>
          </w:tcPr>
          <w:p w:rsidRPr="00B83BBC" w:rsidR="00E80C91" w:rsidP="00620EF4" w:rsidRDefault="00E80C91" w14:paraId="325E10D3" w14:textId="776566FF">
            <w:pPr>
              <w:spacing w:after="60"/>
              <w:rPr>
                <w:b w:val="0"/>
                <w:bCs w:val="0"/>
              </w:rPr>
            </w:pPr>
            <w:r w:rsidRPr="00B83BBC">
              <w:rPr>
                <w:b w:val="0"/>
                <w:bCs w:val="0"/>
              </w:rPr>
              <w:t>s16</w:t>
            </w:r>
            <w:proofErr w:type="gramStart"/>
            <w:r w:rsidRPr="00B83BBC">
              <w:rPr>
                <w:b w:val="0"/>
                <w:bCs w:val="0"/>
              </w:rPr>
              <w:t>E(</w:t>
            </w:r>
            <w:proofErr w:type="gramEnd"/>
            <w:r w:rsidRPr="00B83BBC">
              <w:rPr>
                <w:b w:val="0"/>
                <w:bCs w:val="0"/>
              </w:rPr>
              <w:t>2) item 5 of PGPA Rule</w:t>
            </w:r>
          </w:p>
        </w:tc>
        <w:tc>
          <w:tcPr>
            <w:tcW w:w="1012" w:type="pct"/>
            <w:shd w:val="clear" w:color="auto" w:fill="D1D1D1" w:themeFill="background2" w:themeFillShade="E6"/>
            <w:hideMark/>
          </w:tcPr>
          <w:p w:rsidRPr="00B83BBC" w:rsidR="00E80C91" w:rsidP="00620EF4" w:rsidRDefault="00E80C91" w14:paraId="5DB8329C" w14:textId="77777777">
            <w:pPr>
              <w:spacing w:after="60"/>
              <w:cnfStyle w:val="000000000000" w:firstRow="0" w:lastRow="0" w:firstColumn="0" w:lastColumn="0" w:oddVBand="0" w:evenVBand="0" w:oddHBand="0" w:evenHBand="0" w:firstRowFirstColumn="0" w:firstRowLastColumn="0" w:lastRowFirstColumn="0" w:lastRowLastColumn="0"/>
            </w:pPr>
            <w:r w:rsidRPr="00B83BBC">
              <w:t>Performance</w:t>
            </w:r>
          </w:p>
        </w:tc>
        <w:tc>
          <w:tcPr>
            <w:tcW w:w="2235" w:type="pct"/>
            <w:shd w:val="clear" w:color="auto" w:fill="D1D1D1" w:themeFill="background2" w:themeFillShade="E6"/>
            <w:hideMark/>
          </w:tcPr>
          <w:p w:rsidRPr="0060187C" w:rsidR="00E80C91" w:rsidP="00620EF4" w:rsidRDefault="00E80C91" w14:paraId="7E7A8134" w14:textId="6AFD7FB6">
            <w:pPr>
              <w:spacing w:after="60"/>
              <w:cnfStyle w:val="000000000000" w:firstRow="0" w:lastRow="0" w:firstColumn="0" w:lastColumn="0" w:oddVBand="0" w:evenVBand="0" w:oddHBand="0" w:evenHBand="0" w:firstRowFirstColumn="0" w:firstRowLastColumn="0" w:lastRowFirstColumn="0" w:lastRowLastColumn="0"/>
            </w:pPr>
            <w:r w:rsidRPr="0060187C">
              <w:t xml:space="preserve">For each reporting period covered by plan, details of how entity’s performance in achieving </w:t>
            </w:r>
            <w:r w:rsidR="003143DF">
              <w:t>its</w:t>
            </w:r>
            <w:r w:rsidRPr="0060187C">
              <w:t xml:space="preserve"> purposes will be measured and assessed through:</w:t>
            </w:r>
          </w:p>
          <w:p w:rsidRPr="0060187C" w:rsidR="00E80C91" w:rsidP="00620EF4" w:rsidRDefault="00E80C91" w14:paraId="3CBBB5BB" w14:textId="77777777">
            <w:pPr>
              <w:pStyle w:val="ListParagraph"/>
              <w:numPr>
                <w:ilvl w:val="0"/>
                <w:numId w:val="35"/>
              </w:numPr>
              <w:tabs>
                <w:tab w:val="clear" w:pos="567"/>
                <w:tab w:val="clear" w:pos="1134"/>
                <w:tab w:val="clear" w:pos="1701"/>
                <w:tab w:val="clear" w:pos="2268"/>
              </w:tabs>
              <w:suppressAutoHyphens/>
              <w:spacing w:after="60"/>
              <w:ind w:left="476" w:hanging="476"/>
              <w:contextualSpacing w:val="0"/>
              <w:cnfStyle w:val="000000000000" w:firstRow="0" w:lastRow="0" w:firstColumn="0" w:lastColumn="0" w:oddVBand="0" w:evenVBand="0" w:oddHBand="0" w:evenHBand="0" w:firstRowFirstColumn="0" w:firstRowLastColumn="0" w:lastRowFirstColumn="0" w:lastRowLastColumn="0"/>
            </w:pPr>
            <w:r w:rsidRPr="0060187C">
              <w:t>specified performance measures for the entity that meet the requirements of section 16EA; and</w:t>
            </w:r>
          </w:p>
          <w:p w:rsidRPr="0060187C" w:rsidR="00E80C91" w:rsidP="00620EF4" w:rsidRDefault="00E80C91" w14:paraId="08379AEF" w14:textId="56230462">
            <w:pPr>
              <w:pStyle w:val="ListParagraph"/>
              <w:numPr>
                <w:ilvl w:val="0"/>
                <w:numId w:val="35"/>
              </w:numPr>
              <w:tabs>
                <w:tab w:val="clear" w:pos="567"/>
                <w:tab w:val="clear" w:pos="1134"/>
                <w:tab w:val="clear" w:pos="1701"/>
                <w:tab w:val="clear" w:pos="2268"/>
              </w:tabs>
              <w:suppressAutoHyphens/>
              <w:spacing w:after="60"/>
              <w:ind w:left="476" w:hanging="476"/>
              <w:contextualSpacing w:val="0"/>
              <w:cnfStyle w:val="000000000000" w:firstRow="0" w:lastRow="0" w:firstColumn="0" w:lastColumn="0" w:oddVBand="0" w:evenVBand="0" w:oddHBand="0" w:evenHBand="0" w:firstRowFirstColumn="0" w:firstRowLastColumn="0" w:lastRowFirstColumn="0" w:lastRowLastColumn="0"/>
            </w:pPr>
            <w:r w:rsidRPr="0060187C">
              <w:t>specified targets for each performance measure for which it is reasonably practicable to set a target.</w:t>
            </w:r>
          </w:p>
        </w:tc>
        <w:tc>
          <w:tcPr>
            <w:tcW w:w="675" w:type="pct"/>
            <w:shd w:val="clear" w:color="auto" w:fill="D1D1D1" w:themeFill="background2" w:themeFillShade="E6"/>
          </w:tcPr>
          <w:p w:rsidRPr="00157ADB" w:rsidR="00E80C91" w:rsidP="00620EF4" w:rsidRDefault="00D8130C" w14:paraId="583F67B0" w14:textId="5BF155F6">
            <w:pPr>
              <w:spacing w:after="60"/>
              <w:cnfStyle w:val="000000000000" w:firstRow="0" w:lastRow="0" w:firstColumn="0" w:lastColumn="0" w:oddVBand="0" w:evenVBand="0" w:oddHBand="0" w:evenHBand="0" w:firstRowFirstColumn="0" w:firstRowLastColumn="0" w:lastRowFirstColumn="0" w:lastRowLastColumn="0"/>
            </w:pPr>
            <w:r w:rsidRPr="00157ADB">
              <w:t>17-18</w:t>
            </w:r>
          </w:p>
        </w:tc>
      </w:tr>
    </w:tbl>
    <w:p w:rsidRPr="0060187C" w:rsidR="00DD1E13" w:rsidP="006E4A94" w:rsidRDefault="00311CFF" w14:paraId="37071BA4" w14:textId="7F4A326D">
      <w:pPr>
        <w:sectPr w:rsidRPr="0060187C" w:rsidR="00DD1E13" w:rsidSect="002E494B">
          <w:headerReference w:type="even" r:id="rId27"/>
          <w:headerReference w:type="default" r:id="rId28"/>
          <w:footerReference w:type="even" r:id="rId29"/>
          <w:footerReference w:type="default" r:id="rId30"/>
          <w:footerReference w:type="first" r:id="rId31"/>
          <w:pgSz w:w="11900" w:h="16840" w:orient="portrait"/>
          <w:pgMar w:top="924" w:right="1247" w:bottom="737" w:left="1247" w:header="992" w:footer="0" w:gutter="0"/>
          <w:cols w:space="708"/>
          <w:titlePg/>
          <w:docGrid w:linePitch="360"/>
        </w:sectPr>
      </w:pPr>
      <w:r>
        <w:t>.</w:t>
      </w:r>
    </w:p>
    <w:p w:rsidRPr="005F465B" w:rsidR="00731CC9" w:rsidP="00F03568" w:rsidRDefault="00E36962" w14:paraId="5469010D" w14:textId="6142C1E2">
      <w:pPr>
        <w:pStyle w:val="Normalbackpage"/>
        <w:rPr>
          <w:rFonts w:cs="Arial"/>
          <w:color w:val="452669" w:themeColor="accent1"/>
        </w:rPr>
      </w:pPr>
      <w:r w:rsidRPr="005F465B">
        <w:rPr>
          <w:rFonts w:cs="Arial"/>
          <w:noProof/>
          <w:color w:val="452669" w:themeColor="accent1"/>
        </w:rPr>
        <w:drawing>
          <wp:anchor distT="0" distB="0" distL="114300" distR="114300" simplePos="0" relativeHeight="251658241" behindDoc="1" locked="0" layoutInCell="1" allowOverlap="1" wp14:anchorId="4952D0E4" wp14:editId="52F21675">
            <wp:simplePos x="0" y="0"/>
            <wp:positionH relativeFrom="page">
              <wp:align>left</wp:align>
            </wp:positionH>
            <wp:positionV relativeFrom="paragraph">
              <wp:posOffset>-754691</wp:posOffset>
            </wp:positionV>
            <wp:extent cx="7556167" cy="10692000"/>
            <wp:effectExtent l="0" t="0" r="6985" b="0"/>
            <wp:wrapNone/>
            <wp:docPr id="388" name="Image 3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88" name="Image 388">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rcRect/>
                    <a:stretch/>
                  </pic:blipFill>
                  <pic:spPr>
                    <a:xfrm>
                      <a:off x="0" y="0"/>
                      <a:ext cx="7556167" cy="10692000"/>
                    </a:xfrm>
                    <a:prstGeom prst="rect">
                      <a:avLst/>
                    </a:prstGeom>
                  </pic:spPr>
                </pic:pic>
              </a:graphicData>
            </a:graphic>
          </wp:anchor>
        </w:drawing>
      </w:r>
      <w:r w:rsidR="00040D9E">
        <w:rPr>
          <w:rFonts w:cs="Arial"/>
          <w:b/>
          <w:bCs/>
          <w:noProof/>
          <w:color w:val="000000" w:themeColor="text1"/>
          <w:sz w:val="72"/>
          <w:szCs w:val="72"/>
        </w:rPr>
        <w:drawing>
          <wp:anchor distT="0" distB="0" distL="114300" distR="114300" simplePos="0" relativeHeight="251658242" behindDoc="0" locked="0" layoutInCell="1" allowOverlap="1" wp14:anchorId="26DA23A5" wp14:editId="3FFBFD53">
            <wp:simplePos x="0" y="0"/>
            <wp:positionH relativeFrom="margin">
              <wp:align>center</wp:align>
            </wp:positionH>
            <wp:positionV relativeFrom="paragraph">
              <wp:posOffset>7353601</wp:posOffset>
            </wp:positionV>
            <wp:extent cx="3704896" cy="734204"/>
            <wp:effectExtent l="0" t="0" r="0" b="8890"/>
            <wp:wrapNone/>
            <wp:docPr id="516329032" name="Picture 1" descr="Office of the Inspector-General of Aged Care logo, with 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29032" name="Picture 1" descr="Office of the Inspector-General of Aged Care logo, with Australian Government cres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04896" cy="734204"/>
                    </a:xfrm>
                    <a:prstGeom prst="rect">
                      <a:avLst/>
                    </a:prstGeom>
                  </pic:spPr>
                </pic:pic>
              </a:graphicData>
            </a:graphic>
          </wp:anchor>
        </w:drawing>
      </w:r>
      <w:r w:rsidRPr="005F465B" w:rsidR="00F03568">
        <w:rPr>
          <w:rFonts w:cs="Arial"/>
          <w:color w:val="452669" w:themeColor="accent1"/>
        </w:rPr>
        <w:t>www.igac.gov.au</w:t>
      </w:r>
    </w:p>
    <w:sectPr w:rsidRPr="005F465B" w:rsidR="00731CC9" w:rsidSect="00A81120">
      <w:footerReference w:type="first" r:id="rId33"/>
      <w:pgSz w:w="11900" w:h="16840" w:orient="portrait"/>
      <w:pgMar w:top="924"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60187C" w:rsidR="007858D6" w:rsidP="00731CC9" w:rsidRDefault="007858D6" w14:paraId="368E95DF" w14:textId="77777777">
      <w:r w:rsidRPr="0060187C">
        <w:separator/>
      </w:r>
    </w:p>
  </w:endnote>
  <w:endnote w:type="continuationSeparator" w:id="0">
    <w:p w:rsidRPr="0060187C" w:rsidR="007858D6" w:rsidP="00731CC9" w:rsidRDefault="007858D6" w14:paraId="1B730B9D" w14:textId="77777777">
      <w:r w:rsidRPr="0060187C">
        <w:continuationSeparator/>
      </w:r>
    </w:p>
  </w:endnote>
  <w:endnote w:type="continuationNotice" w:id="1">
    <w:p w:rsidRPr="0060187C" w:rsidR="007858D6" w:rsidRDefault="007858D6" w14:paraId="0D577A3A"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60187C" w:rsidR="009E783E" w:rsidRDefault="00DA109C" w14:paraId="411E2CAE" w14:textId="2CB582DA">
    <w:pPr>
      <w:pStyle w:val="Footer"/>
      <w:framePr w:wrap="none" w:hAnchor="margin" w:vAnchor="text" w:xAlign="right" w:y="1"/>
      <w:rPr>
        <w:rStyle w:val="PageNumber"/>
      </w:rPr>
    </w:pPr>
    <w:r w:rsidRPr="00550726">
      <w:rPr>
        <w:noProof/>
      </w:rPr>
      <mc:AlternateContent>
        <mc:Choice Requires="wps">
          <w:drawing>
            <wp:anchor distT="0" distB="0" distL="0" distR="0" simplePos="0" relativeHeight="251658242" behindDoc="0" locked="0" layoutInCell="1" allowOverlap="1" wp14:anchorId="4A69A5B5" wp14:editId="220D1013">
              <wp:simplePos x="635" y="635"/>
              <wp:positionH relativeFrom="page">
                <wp:align>center</wp:align>
              </wp:positionH>
              <wp:positionV relativeFrom="page">
                <wp:align>bottom</wp:align>
              </wp:positionV>
              <wp:extent cx="622300" cy="452755"/>
              <wp:effectExtent l="0" t="0" r="6350" b="0"/>
              <wp:wrapNone/>
              <wp:docPr id="180532412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814AA2" w:rsidR="00DA109C" w:rsidP="00DA109C" w:rsidRDefault="00DA109C" w14:paraId="6D261A3D" w14:textId="69C98979">
                          <w:pPr>
                            <w:spacing w:after="0"/>
                            <w:rPr>
                              <w:rFonts w:ascii="Aptos" w:hAnsi="Aptos" w:eastAsia="Aptos" w:cs="Aptos"/>
                              <w:color w:val="FF0000"/>
                            </w:rPr>
                          </w:pPr>
                          <w:r w:rsidRPr="00814AA2">
                            <w:rPr>
                              <w:rFonts w:ascii="Aptos" w:hAnsi="Aptos" w:eastAsia="Aptos" w:cs="Aptos"/>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256F98B">
            <v:shapetype id="_x0000_t202" coordsize="21600,21600" o:spt="202" path="m,l,21600r21600,l21600,xe" w14:anchorId="4A69A5B5">
              <v:stroke joinstyle="miter"/>
              <v:path gradientshapeok="t" o:connecttype="rect"/>
            </v:shapetype>
            <v:shape id="Text Box 5" style="position:absolute;margin-left:0;margin-top:0;width:49pt;height:35.65pt;z-index:251658242;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75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dWr7rdQHWkohGHf3sl1Q6XvhQ9PAmnB1C2JNjzS&#10;oVvoSg4ni7Ma8Off/DGfeKcoZx0JpuSWFM1Z+93SPqK2RgNHY5uM6Zd8Humxe3MLJMMpvQgnk0le&#10;DO1oagTzQnJexUIUElZSuZJvR/M2DMql5yDVapWSSEZOhHu7cTJCR7oil8/9i0B3IjzQph5gVJMo&#10;3vA+5Mab3q32gdhPS4nUDkSeGCcJprWenkvU+Ov/lHV51MtfA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ugMe+QwCAAAcBAAA&#10;DgAAAAAAAAAAAAAAAAAuAgAAZHJzL2Uyb0RvYy54bWxQSwECLQAUAAYACAAAACEApl/EdtoAAAAD&#10;AQAADwAAAAAAAAAAAAAAAABmBAAAZHJzL2Rvd25yZXYueG1sUEsFBgAAAAAEAAQA8wAAAG0FAAAA&#10;AA==&#10;">
              <v:textbox style="mso-fit-shape-to-text:t" inset="0,0,0,15pt">
                <w:txbxContent>
                  <w:p w:rsidRPr="00814AA2" w:rsidR="00DA109C" w:rsidP="00DA109C" w:rsidRDefault="00DA109C" w14:paraId="09E77742" w14:textId="69C98979">
                    <w:pPr>
                      <w:spacing w:after="0"/>
                      <w:rPr>
                        <w:rFonts w:ascii="Aptos" w:hAnsi="Aptos" w:eastAsia="Aptos" w:cs="Aptos"/>
                        <w:color w:val="FF0000"/>
                      </w:rPr>
                    </w:pPr>
                    <w:r w:rsidRPr="00814AA2">
                      <w:rPr>
                        <w:rFonts w:ascii="Aptos" w:hAnsi="Aptos" w:eastAsia="Aptos" w:cs="Aptos"/>
                        <w:color w:val="FF0000"/>
                      </w:rPr>
                      <w:t>OFFICIAL</w:t>
                    </w:r>
                  </w:p>
                </w:txbxContent>
              </v:textbox>
              <w10:wrap anchorx="page" anchory="page"/>
            </v:shape>
          </w:pict>
        </mc:Fallback>
      </mc:AlternateContent>
    </w:r>
  </w:p>
  <w:sdt>
    <w:sdtPr>
      <w:rPr>
        <w:rStyle w:val="PageNumber"/>
      </w:rPr>
      <w:id w:val="737288582"/>
      <w:docPartObj>
        <w:docPartGallery w:val="Page Numbers (Bottom of Page)"/>
        <w:docPartUnique/>
      </w:docPartObj>
    </w:sdtPr>
    <w:sdtContent>
      <w:p w:rsidRPr="0060187C" w:rsidR="009E783E" w:rsidRDefault="009E783E" w14:paraId="6CF189C4" w14:textId="77777777">
        <w:pPr>
          <w:pStyle w:val="Footer"/>
          <w:framePr w:wrap="none" w:hAnchor="margin" w:vAnchor="text" w:xAlign="right" w:y="1"/>
          <w:rPr>
            <w:rStyle w:val="PageNumber"/>
          </w:rPr>
        </w:pPr>
        <w:r w:rsidRPr="0060187C">
          <w:rPr>
            <w:rStyle w:val="PageNumber"/>
          </w:rPr>
          <w:fldChar w:fldCharType="begin"/>
        </w:r>
        <w:r w:rsidRPr="0060187C">
          <w:rPr>
            <w:rStyle w:val="PageNumber"/>
          </w:rPr>
          <w:instrText xml:space="preserve"> PAGE </w:instrText>
        </w:r>
        <w:r w:rsidRPr="0060187C">
          <w:rPr>
            <w:rStyle w:val="PageNumber"/>
          </w:rPr>
          <w:fldChar w:fldCharType="end"/>
        </w:r>
      </w:p>
    </w:sdtContent>
    <w:sdtEndPr>
      <w:rPr>
        <w:rStyle w:val="PageNumber"/>
      </w:rPr>
    </w:sdtEndPr>
  </w:sdt>
  <w:p w:rsidRPr="0060187C" w:rsidR="009E783E" w:rsidP="009E783E" w:rsidRDefault="009E783E" w14:paraId="344A654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26473D" w:rsidR="006F1E00" w:rsidP="006F1E00" w:rsidRDefault="00000000" w14:paraId="242146C1" w14:textId="1E072C7C">
    <w:pPr>
      <w:pStyle w:val="Footer"/>
      <w:tabs>
        <w:tab w:val="clear" w:pos="4513"/>
        <w:tab w:val="center" w:pos="0"/>
      </w:tabs>
      <w:rPr>
        <w:rFonts w:cs="Arial"/>
        <w:color w:val="452669" w:themeColor="accent1"/>
        <w:sz w:val="20"/>
        <w:szCs w:val="20"/>
      </w:rPr>
    </w:pPr>
    <w:sdt>
      <w:sdtPr>
        <w:rPr>
          <w:rFonts w:cs="Arial"/>
          <w:color w:val="452669" w:themeColor="accent1"/>
          <w:sz w:val="20"/>
        </w:rPr>
        <w:id w:val="-443848716"/>
        <w:docPartObj>
          <w:docPartGallery w:val="Page Numbers (Bottom of Page)"/>
          <w:docPartUnique/>
        </w:docPartObj>
      </w:sdtPr>
      <w:sdtEndPr>
        <w:rPr>
          <w:noProof/>
        </w:rPr>
      </w:sdtEndPr>
      <w:sdtContent>
        <w:r w:rsidRPr="0026473D" w:rsidR="006F1E00">
          <w:rPr>
            <w:rFonts w:cs="Arial"/>
            <w:b/>
            <w:bCs/>
            <w:noProof/>
            <w:color w:val="452669" w:themeColor="accent1"/>
            <w:sz w:val="20"/>
            <w:szCs w:val="20"/>
          </w:rPr>
          <mc:AlternateContent>
            <mc:Choice Requires="wps">
              <w:drawing>
                <wp:anchor distT="0" distB="0" distL="114300" distR="114300" simplePos="0" relativeHeight="251658246" behindDoc="0" locked="0" layoutInCell="1" allowOverlap="1" wp14:anchorId="2BA41D2D" wp14:editId="520010A0">
                  <wp:simplePos x="0" y="0"/>
                  <wp:positionH relativeFrom="rightMargin">
                    <wp:posOffset>448310</wp:posOffset>
                  </wp:positionH>
                  <wp:positionV relativeFrom="paragraph">
                    <wp:posOffset>161290</wp:posOffset>
                  </wp:positionV>
                  <wp:extent cx="1578610" cy="0"/>
                  <wp:effectExtent l="57150" t="57150" r="78740" b="76200"/>
                  <wp:wrapNone/>
                  <wp:docPr id="1771959298" name="Straight Connector 4"/>
                  <wp:cNvGraphicFramePr/>
                  <a:graphic xmlns:a="http://schemas.openxmlformats.org/drawingml/2006/main">
                    <a:graphicData uri="http://schemas.microsoft.com/office/word/2010/wordprocessingShape">
                      <wps:wsp>
                        <wps:cNvCnPr/>
                        <wps:spPr>
                          <a:xfrm>
                            <a:off x="0" y="0"/>
                            <a:ext cx="1578610" cy="0"/>
                          </a:xfrm>
                          <a:prstGeom prst="line">
                            <a:avLst/>
                          </a:prstGeom>
                          <a:ln w="127000" cap="rnd">
                            <a:solidFill>
                              <a:schemeClr val="accent3">
                                <a:lumMod val="60000"/>
                                <a:lumOff val="40000"/>
                                <a:alpha val="69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24823853">
                <v:line id="Straight Connector 4" style="position:absolute;z-index:251658246;visibility:visible;mso-wrap-style:square;mso-wrap-distance-left:9pt;mso-wrap-distance-top:0;mso-wrap-distance-right:9pt;mso-wrap-distance-bottom:0;mso-position-horizontal:absolute;mso-position-horizontal-relative:right-margin-area;mso-position-vertical:absolute;mso-position-vertical-relative:text" o:spid="_x0000_s1026" strokecolor="#dcbfda [1942]" strokeweight="10pt" from="35.3pt,12.7pt" to="159.6pt,12.7pt" w14:anchorId="0CD8D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">
                  <v:stroke opacity="45232f" joinstyle="miter" endcap="round"/>
                  <w10:wrap anchorx="margin"/>
                </v:line>
              </w:pict>
            </mc:Fallback>
          </mc:AlternateContent>
        </w:r>
        <w:r w:rsidRPr="0026473D" w:rsidR="006F1E00">
          <w:rPr>
            <w:rFonts w:cs="Arial"/>
            <w:b/>
            <w:bCs/>
            <w:noProof/>
            <w:color w:val="452669" w:themeColor="accent1"/>
            <w:sz w:val="20"/>
            <w:szCs w:val="20"/>
          </w:rPr>
          <mc:AlternateContent>
            <mc:Choice Requires="wps">
              <w:drawing>
                <wp:anchor distT="0" distB="0" distL="114300" distR="114300" simplePos="0" relativeHeight="251658245" behindDoc="0" locked="0" layoutInCell="1" allowOverlap="1" wp14:anchorId="678ABCB0" wp14:editId="5075A1B9">
                  <wp:simplePos x="0" y="0"/>
                  <wp:positionH relativeFrom="rightMargin">
                    <wp:posOffset>202754</wp:posOffset>
                  </wp:positionH>
                  <wp:positionV relativeFrom="paragraph">
                    <wp:posOffset>163023</wp:posOffset>
                  </wp:positionV>
                  <wp:extent cx="1578610" cy="0"/>
                  <wp:effectExtent l="57150" t="57150" r="78740" b="76200"/>
                  <wp:wrapNone/>
                  <wp:docPr id="820487711" name="Straight Connector 4"/>
                  <wp:cNvGraphicFramePr/>
                  <a:graphic xmlns:a="http://schemas.openxmlformats.org/drawingml/2006/main">
                    <a:graphicData uri="http://schemas.microsoft.com/office/word/2010/wordprocessingShape">
                      <wps:wsp>
                        <wps:cNvCnPr/>
                        <wps:spPr>
                          <a:xfrm>
                            <a:off x="0" y="0"/>
                            <a:ext cx="1578610" cy="0"/>
                          </a:xfrm>
                          <a:prstGeom prst="line">
                            <a:avLst/>
                          </a:prstGeom>
                          <a:ln w="127000" cap="rnd">
                            <a:solidFill>
                              <a:schemeClr val="accent3">
                                <a:lumMod val="40000"/>
                                <a:lumOff val="60000"/>
                                <a:alpha val="69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w14:anchorId="79868188">
                <v:line id="Straight Connector 4" style="position:absolute;z-index:251658245;visibility:visible;mso-wrap-style:square;mso-wrap-distance-left:9pt;mso-wrap-distance-top:0;mso-wrap-distance-right:9pt;mso-wrap-distance-bottom:0;mso-position-horizontal:absolute;mso-position-horizontal-relative:right-margin-area;mso-position-vertical:absolute;mso-position-vertical-relative:text" o:spid="_x0000_s1026" strokecolor="#e7d4e7 [1302]" strokeweight="10pt" from="15.95pt,12.85pt" to="140.25pt,12.85pt" w14:anchorId="4F58CA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">
                  <v:stroke opacity="45232f" joinstyle="miter" endcap="round"/>
                  <w10:wrap anchorx="margin"/>
                </v:line>
              </w:pict>
            </mc:Fallback>
          </mc:AlternateContent>
        </w:r>
        <w:r w:rsidRPr="0026473D" w:rsidR="006F1E00">
          <w:rPr>
            <w:rFonts w:cs="Arial"/>
            <w:color w:val="452669" w:themeColor="accent1"/>
            <w:sz w:val="20"/>
          </w:rPr>
          <w:t xml:space="preserve">Office of the Inspector-General of Aged Care </w:t>
        </w:r>
        <w:r w:rsidR="006F1E00">
          <w:rPr>
            <w:rFonts w:cs="Arial"/>
            <w:b/>
            <w:bCs/>
            <w:color w:val="452669" w:themeColor="accent1"/>
            <w:sz w:val="20"/>
          </w:rPr>
          <w:t>Corporate Plan 2026-27</w:t>
        </w:r>
        <w:r w:rsidRPr="0026473D" w:rsidR="006F1E00">
          <w:rPr>
            <w:rFonts w:cs="Arial"/>
            <w:color w:val="452669" w:themeColor="accent1"/>
            <w:sz w:val="20"/>
          </w:rPr>
          <w:tab/>
        </w:r>
        <w:r w:rsidRPr="0026473D" w:rsidR="006F1E00">
          <w:rPr>
            <w:rFonts w:cs="Arial"/>
            <w:color w:val="452669" w:themeColor="accent1"/>
            <w:sz w:val="20"/>
          </w:rPr>
          <w:fldChar w:fldCharType="begin"/>
        </w:r>
        <w:r w:rsidRPr="0026473D" w:rsidR="006F1E00">
          <w:rPr>
            <w:rFonts w:cs="Arial"/>
            <w:color w:val="452669" w:themeColor="accent1"/>
            <w:sz w:val="20"/>
          </w:rPr>
          <w:instrText xml:space="preserve"> PAGE   \* MERGEFORMAT </w:instrText>
        </w:r>
        <w:r w:rsidRPr="0026473D" w:rsidR="006F1E00">
          <w:rPr>
            <w:rFonts w:cs="Arial"/>
            <w:color w:val="452669" w:themeColor="accent1"/>
            <w:sz w:val="20"/>
          </w:rPr>
          <w:fldChar w:fldCharType="separate"/>
        </w:r>
        <w:r w:rsidR="006F1E00">
          <w:rPr>
            <w:rFonts w:cs="Arial"/>
            <w:color w:val="452669" w:themeColor="accent1"/>
            <w:sz w:val="20"/>
          </w:rPr>
          <w:t>1</w:t>
        </w:r>
        <w:r w:rsidRPr="0026473D" w:rsidR="006F1E00">
          <w:rPr>
            <w:rFonts w:cs="Arial"/>
            <w:noProof/>
            <w:color w:val="452669" w:themeColor="accent1"/>
            <w:sz w:val="20"/>
          </w:rPr>
          <w:fldChar w:fldCharType="end"/>
        </w:r>
      </w:sdtContent>
    </w:sdt>
  </w:p>
  <w:p w:rsidRPr="0060187C" w:rsidR="009E783E" w:rsidP="00273281" w:rsidRDefault="009E783E" w14:paraId="19F540B0" w14:textId="4B7B8E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60187C" w:rsidR="006824C2" w:rsidP="00FE2D1D" w:rsidRDefault="00DA109C" w14:paraId="62D6F940" w14:textId="02963578">
    <w:pPr>
      <w:pStyle w:val="Footer"/>
      <w:framePr w:wrap="none" w:hAnchor="margin" w:vAnchor="text" w:xAlign="right" w:y="1"/>
      <w:spacing w:before="300"/>
      <w:rPr>
        <w:rStyle w:val="PageNumber"/>
      </w:rPr>
    </w:pPr>
    <w:r w:rsidRPr="00550726">
      <w:rPr>
        <w:noProof/>
      </w:rPr>
      <mc:AlternateContent>
        <mc:Choice Requires="wps">
          <w:drawing>
            <wp:anchor distT="0" distB="0" distL="0" distR="0" simplePos="0" relativeHeight="251658241" behindDoc="0" locked="0" layoutInCell="1" allowOverlap="1" wp14:anchorId="578DEBB9" wp14:editId="55509BA4">
              <wp:simplePos x="6686550" y="9925050"/>
              <wp:positionH relativeFrom="page">
                <wp:align>center</wp:align>
              </wp:positionH>
              <wp:positionV relativeFrom="page">
                <wp:align>bottom</wp:align>
              </wp:positionV>
              <wp:extent cx="622300" cy="452755"/>
              <wp:effectExtent l="0" t="0" r="6350" b="0"/>
              <wp:wrapNone/>
              <wp:docPr id="193375508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814AA2" w:rsidR="00DA109C" w:rsidP="00DA109C" w:rsidRDefault="00DA109C" w14:paraId="6A7F48A3" w14:textId="30127C2B">
                          <w:pPr>
                            <w:spacing w:after="0"/>
                            <w:rPr>
                              <w:rFonts w:ascii="Aptos" w:hAnsi="Aptos" w:eastAsia="Aptos" w:cs="Aptos"/>
                              <w:color w:val="FF0000"/>
                            </w:rPr>
                          </w:pPr>
                          <w:r w:rsidRPr="00814AA2">
                            <w:rPr>
                              <w:rFonts w:ascii="Aptos" w:hAnsi="Aptos" w:eastAsia="Aptos" w:cs="Aptos"/>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69B5EAC1">
            <v:shapetype id="_x0000_t202" coordsize="21600,21600" o:spt="202" path="m,l,21600r21600,l21600,xe" w14:anchorId="578DEBB9">
              <v:stroke joinstyle="miter"/>
              <v:path gradientshapeok="t" o:connecttype="rect"/>
            </v:shapetype>
            <v:shape id="Text Box 4" style="position:absolute;margin-left:0;margin-top:0;width:49pt;height:35.65pt;z-index:251658241;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v:textbox style="mso-fit-shape-to-text:t" inset="0,0,0,15pt">
                <w:txbxContent>
                  <w:p w:rsidRPr="00814AA2" w:rsidR="00DA109C" w:rsidP="00DA109C" w:rsidRDefault="00DA109C" w14:paraId="75F360E3" w14:textId="30127C2B">
                    <w:pPr>
                      <w:spacing w:after="0"/>
                      <w:rPr>
                        <w:rFonts w:ascii="Aptos" w:hAnsi="Aptos" w:eastAsia="Aptos" w:cs="Aptos"/>
                        <w:color w:val="FF0000"/>
                      </w:rPr>
                    </w:pPr>
                    <w:r w:rsidRPr="00814AA2">
                      <w:rPr>
                        <w:rFonts w:ascii="Aptos" w:hAnsi="Aptos" w:eastAsia="Aptos" w:cs="Aptos"/>
                        <w:color w:val="FF0000"/>
                      </w:rPr>
                      <w:t>OFFICIAL</w:t>
                    </w:r>
                  </w:p>
                </w:txbxContent>
              </v:textbox>
              <w10:wrap anchorx="page" anchory="page"/>
            </v:shape>
          </w:pict>
        </mc:Fallback>
      </mc:AlternateContent>
    </w:r>
    <w:sdt>
      <w:sdtPr>
        <w:rPr>
          <w:rStyle w:val="PageNumber"/>
        </w:rPr>
        <w:id w:val="-2093842441"/>
        <w:docPartObj>
          <w:docPartGallery w:val="Page Numbers (Bottom of Page)"/>
          <w:docPartUnique/>
        </w:docPartObj>
      </w:sdtPr>
      <w:sdtContent>
        <w:r w:rsidRPr="0060187C" w:rsidR="006824C2">
          <w:rPr>
            <w:rStyle w:val="PageNumber"/>
          </w:rPr>
          <w:fldChar w:fldCharType="begin"/>
        </w:r>
        <w:r w:rsidRPr="0060187C" w:rsidR="006824C2">
          <w:rPr>
            <w:rStyle w:val="PageNumber"/>
          </w:rPr>
          <w:instrText xml:space="preserve"> PAGE </w:instrText>
        </w:r>
        <w:r w:rsidRPr="0060187C" w:rsidR="006824C2">
          <w:rPr>
            <w:rStyle w:val="PageNumber"/>
          </w:rPr>
          <w:fldChar w:fldCharType="separate"/>
        </w:r>
        <w:r w:rsidRPr="00814AA2" w:rsidR="006824C2">
          <w:rPr>
            <w:rStyle w:val="PageNumber"/>
          </w:rPr>
          <w:t>4</w:t>
        </w:r>
        <w:r w:rsidRPr="0060187C" w:rsidR="006824C2">
          <w:rPr>
            <w:rStyle w:val="PageNumber"/>
          </w:rPr>
          <w:fldChar w:fldCharType="end"/>
        </w:r>
      </w:sdtContent>
    </w:sdt>
  </w:p>
  <w:p w:rsidRPr="0060187C" w:rsidR="00DA4E91" w:rsidP="00DA4E91" w:rsidRDefault="00DA4E91" w14:paraId="418334BC" w14:textId="6FD7767E">
    <w:pPr>
      <w:spacing w:before="480"/>
      <w:ind w:right="3452"/>
      <w:rPr>
        <w:rFonts w:eastAsiaTheme="minorHAnsi"/>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60187C" w:rsidR="00A81120" w:rsidP="00FE2D1D" w:rsidRDefault="00DA109C" w14:paraId="42F691A5" w14:textId="02440873">
    <w:pPr>
      <w:pStyle w:val="Footer"/>
      <w:framePr w:wrap="none" w:hAnchor="margin" w:vAnchor="text" w:xAlign="right" w:y="1"/>
      <w:spacing w:before="300"/>
      <w:rPr>
        <w:rStyle w:val="PageNumber"/>
      </w:rPr>
    </w:pPr>
    <w:r w:rsidRPr="00550726">
      <w:rPr>
        <w:noProof/>
      </w:rPr>
      <mc:AlternateContent>
        <mc:Choice Requires="wps">
          <w:drawing>
            <wp:anchor distT="0" distB="0" distL="0" distR="0" simplePos="0" relativeHeight="251658243" behindDoc="0" locked="0" layoutInCell="1" allowOverlap="1" wp14:anchorId="0704DE26" wp14:editId="164B4C83">
              <wp:simplePos x="635" y="635"/>
              <wp:positionH relativeFrom="page">
                <wp:align>center</wp:align>
              </wp:positionH>
              <wp:positionV relativeFrom="page">
                <wp:align>bottom</wp:align>
              </wp:positionV>
              <wp:extent cx="622300" cy="452755"/>
              <wp:effectExtent l="0" t="0" r="6350" b="0"/>
              <wp:wrapNone/>
              <wp:docPr id="90101927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814AA2" w:rsidR="00DA109C" w:rsidP="00DA109C" w:rsidRDefault="00DA109C" w14:paraId="6AE226CF" w14:textId="00F7B309">
                          <w:pPr>
                            <w:spacing w:after="0"/>
                            <w:rPr>
                              <w:rFonts w:ascii="Aptos" w:hAnsi="Aptos" w:eastAsia="Aptos" w:cs="Aptos"/>
                              <w:color w:val="FF0000"/>
                            </w:rPr>
                          </w:pPr>
                          <w:r w:rsidRPr="00814AA2">
                            <w:rPr>
                              <w:rFonts w:ascii="Aptos" w:hAnsi="Aptos" w:eastAsia="Aptos" w:cs="Aptos"/>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9F3AC50">
            <v:shapetype id="_x0000_t202" coordsize="21600,21600" o:spt="202" path="m,l,21600r21600,l21600,xe" w14:anchorId="0704DE26">
              <v:stroke joinstyle="miter"/>
              <v:path gradientshapeok="t" o:connecttype="rect"/>
            </v:shapetype>
            <v:shape id="Text Box 7" style="position:absolute;margin-left:0;margin-top:0;width:49pt;height:35.65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v:textbox style="mso-fit-shape-to-text:t" inset="0,0,0,15pt">
                <w:txbxContent>
                  <w:p w:rsidRPr="00814AA2" w:rsidR="00DA109C" w:rsidP="00DA109C" w:rsidRDefault="00DA109C" w14:paraId="08CE8BEA" w14:textId="00F7B309">
                    <w:pPr>
                      <w:spacing w:after="0"/>
                      <w:rPr>
                        <w:rFonts w:ascii="Aptos" w:hAnsi="Aptos" w:eastAsia="Aptos" w:cs="Aptos"/>
                        <w:color w:val="FF0000"/>
                      </w:rPr>
                    </w:pPr>
                    <w:r w:rsidRPr="00814AA2">
                      <w:rPr>
                        <w:rFonts w:ascii="Aptos" w:hAnsi="Aptos" w:eastAsia="Aptos" w:cs="Aptos"/>
                        <w:color w:val="FF0000"/>
                      </w:rPr>
                      <w:t>OFFICIAL</w:t>
                    </w:r>
                  </w:p>
                </w:txbxContent>
              </v:textbox>
              <w10:wrap anchorx="page" anchory="page"/>
            </v:shape>
          </w:pict>
        </mc:Fallback>
      </mc:AlternateContent>
    </w:r>
  </w:p>
  <w:sdt>
    <w:sdtPr>
      <w:rPr>
        <w:rStyle w:val="PageNumber"/>
      </w:rPr>
      <w:id w:val="-451560015"/>
      <w:docPartObj>
        <w:docPartGallery w:val="Page Numbers (Bottom of Page)"/>
        <w:docPartUnique/>
      </w:docPartObj>
    </w:sdtPr>
    <w:sdtContent>
      <w:p w:rsidRPr="0060187C" w:rsidR="00A81120" w:rsidP="00FE2D1D" w:rsidRDefault="00A81120" w14:paraId="78DB9020" w14:textId="77777777">
        <w:pPr>
          <w:pStyle w:val="Footer"/>
          <w:framePr w:wrap="none" w:hAnchor="margin" w:vAnchor="text" w:xAlign="right" w:y="1"/>
          <w:spacing w:before="300"/>
          <w:rPr>
            <w:rStyle w:val="PageNumber"/>
          </w:rPr>
        </w:pPr>
        <w:r w:rsidRPr="0060187C">
          <w:rPr>
            <w:rStyle w:val="PageNumber"/>
          </w:rPr>
          <w:fldChar w:fldCharType="begin"/>
        </w:r>
        <w:r w:rsidRPr="0060187C">
          <w:rPr>
            <w:rStyle w:val="PageNumber"/>
          </w:rPr>
          <w:instrText xml:space="preserve"> PAGE </w:instrText>
        </w:r>
        <w:r w:rsidRPr="0060187C">
          <w:rPr>
            <w:rStyle w:val="PageNumber"/>
          </w:rPr>
          <w:fldChar w:fldCharType="separate"/>
        </w:r>
        <w:r w:rsidRPr="00814AA2">
          <w:rPr>
            <w:rStyle w:val="PageNumber"/>
          </w:rPr>
          <w:t>4</w:t>
        </w:r>
        <w:r w:rsidRPr="0060187C">
          <w:rPr>
            <w:rStyle w:val="PageNumber"/>
          </w:rPr>
          <w:fldChar w:fldCharType="end"/>
        </w:r>
      </w:p>
    </w:sdtContent>
    <w:sdtEndPr>
      <w:rPr>
        <w:rStyle w:val="PageNumber"/>
      </w:rPr>
    </w:sdtEndPr>
  </w:sdt>
  <w:p w:rsidRPr="0060187C" w:rsidR="00A81120" w:rsidP="00DA4E91" w:rsidRDefault="00A81120" w14:paraId="083E2CEE" w14:textId="77777777">
    <w:pPr>
      <w:spacing w:before="480"/>
      <w:ind w:right="3452"/>
      <w:rPr>
        <w:rFonts w:eastAsiaTheme="minorHAnsi"/>
        <w:sz w:val="18"/>
        <w:szCs w:val="18"/>
      </w:rPr>
    </w:pPr>
    <w:r w:rsidRPr="0060187C">
      <w:rPr>
        <w:rFonts w:eastAsiaTheme="minorHAnsi"/>
        <w:b/>
        <w:bCs/>
        <w:sz w:val="18"/>
        <w:szCs w:val="18"/>
      </w:rPr>
      <w:t>2024 Progress Report:</w:t>
    </w:r>
    <w:r w:rsidRPr="0060187C">
      <w:rPr>
        <w:rFonts w:eastAsiaTheme="minorHAnsi"/>
        <w:sz w:val="18"/>
        <w:szCs w:val="18"/>
      </w:rPr>
      <w:t xml:space="preserve"> Implementation of the Recommendations of the Royal Commission into Aged Care Quality and Safety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60187C" w:rsidR="007858D6" w:rsidP="00731CC9" w:rsidRDefault="007858D6" w14:paraId="462DC2D3" w14:textId="77777777">
      <w:r w:rsidRPr="0060187C">
        <w:separator/>
      </w:r>
    </w:p>
  </w:footnote>
  <w:footnote w:type="continuationSeparator" w:id="0">
    <w:p w:rsidRPr="0060187C" w:rsidR="007858D6" w:rsidP="00731CC9" w:rsidRDefault="007858D6" w14:paraId="34193F21" w14:textId="77777777">
      <w:r w:rsidRPr="0060187C">
        <w:continuationSeparator/>
      </w:r>
    </w:p>
  </w:footnote>
  <w:footnote w:type="continuationNotice" w:id="1">
    <w:p w:rsidRPr="0060187C" w:rsidR="007858D6" w:rsidRDefault="007858D6" w14:paraId="1D91556D"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60187C" w:rsidR="00DA109C" w:rsidRDefault="00DA109C" w14:paraId="1BBE51B4" w14:textId="43455AD6">
    <w:pPr>
      <w:pStyle w:val="Header"/>
    </w:pPr>
    <w:r w:rsidRPr="00550726">
      <w:rPr>
        <w:noProof/>
      </w:rPr>
      <mc:AlternateContent>
        <mc:Choice Requires="wps">
          <w:drawing>
            <wp:anchor distT="0" distB="0" distL="0" distR="0" simplePos="0" relativeHeight="251658240" behindDoc="0" locked="0" layoutInCell="1" allowOverlap="1" wp14:anchorId="56BAA646" wp14:editId="7A0CAF9A">
              <wp:simplePos x="635" y="635"/>
              <wp:positionH relativeFrom="page">
                <wp:align>center</wp:align>
              </wp:positionH>
              <wp:positionV relativeFrom="page">
                <wp:align>top</wp:align>
              </wp:positionV>
              <wp:extent cx="622300" cy="452755"/>
              <wp:effectExtent l="0" t="0" r="6350" b="4445"/>
              <wp:wrapNone/>
              <wp:docPr id="682044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rsidRPr="00814AA2" w:rsidR="00DA109C" w:rsidP="00DA109C" w:rsidRDefault="00DA109C" w14:paraId="2F520F08" w14:textId="7A177F25">
                          <w:pPr>
                            <w:spacing w:after="0"/>
                            <w:rPr>
                              <w:rFonts w:ascii="Aptos" w:hAnsi="Aptos" w:eastAsia="Aptos" w:cs="Aptos"/>
                              <w:color w:val="FF0000"/>
                            </w:rPr>
                          </w:pPr>
                          <w:r w:rsidRPr="00814AA2">
                            <w:rPr>
                              <w:rFonts w:ascii="Aptos" w:hAnsi="Aptos" w:eastAsia="Aptos" w:cs="Aptos"/>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FBCCBF5">
            <v:shapetype id="_x0000_t202" coordsize="21600,21600" o:spt="202" path="m,l,21600r21600,l21600,xe" w14:anchorId="56BAA646">
              <v:stroke joinstyle="miter"/>
              <v:path gradientshapeok="t" o:connecttype="rect"/>
            </v:shapetype>
            <v:shape id="Text Box 2" style="position:absolute;margin-left:0;margin-top:0;width:49pt;height:35.6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v:textbox style="mso-fit-shape-to-text:t" inset="0,15pt,0,0">
                <w:txbxContent>
                  <w:p w:rsidRPr="00814AA2" w:rsidR="00DA109C" w:rsidP="00DA109C" w:rsidRDefault="00DA109C" w14:paraId="17D1F485" w14:textId="7A177F25">
                    <w:pPr>
                      <w:spacing w:after="0"/>
                      <w:rPr>
                        <w:rFonts w:ascii="Aptos" w:hAnsi="Aptos" w:eastAsia="Aptos" w:cs="Aptos"/>
                        <w:color w:val="FF0000"/>
                      </w:rPr>
                    </w:pPr>
                    <w:r w:rsidRPr="00814AA2">
                      <w:rPr>
                        <w:rFonts w:ascii="Aptos" w:hAnsi="Aptos" w:eastAsia="Aptos" w:cs="Aptos"/>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F326A" w:rsidRDefault="008F326A" w14:paraId="21BD7FBD" w14:textId="27B09CCB">
    <w:pPr>
      <w:pStyle w:val="Header"/>
    </w:pPr>
    <w:r w:rsidRPr="00682C5A">
      <w:rPr>
        <w:noProof/>
        <w:color w:val="78226D" w:themeColor="accent4"/>
      </w:rPr>
      <mc:AlternateContent>
        <mc:Choice Requires="wpg">
          <w:drawing>
            <wp:anchor distT="0" distB="0" distL="114300" distR="114300" simplePos="0" relativeHeight="251658244" behindDoc="0" locked="0" layoutInCell="1" allowOverlap="1" wp14:anchorId="3D7BE1ED" wp14:editId="61407B6C">
              <wp:simplePos x="0" y="0"/>
              <wp:positionH relativeFrom="page">
                <wp:posOffset>-153035</wp:posOffset>
              </wp:positionH>
              <wp:positionV relativeFrom="paragraph">
                <wp:posOffset>-195978</wp:posOffset>
              </wp:positionV>
              <wp:extent cx="2039091" cy="141597"/>
              <wp:effectExtent l="0" t="0" r="0" b="0"/>
              <wp:wrapNone/>
              <wp:docPr id="222260905" name="Group 44"/>
              <wp:cNvGraphicFramePr/>
              <a:graphic xmlns:a="http://schemas.openxmlformats.org/drawingml/2006/main">
                <a:graphicData uri="http://schemas.microsoft.com/office/word/2010/wordprocessingGroup">
                  <wpg:wgp>
                    <wpg:cNvGrpSpPr/>
                    <wpg:grpSpPr>
                      <a:xfrm>
                        <a:off x="0" y="0"/>
                        <a:ext cx="2039091" cy="141597"/>
                        <a:chOff x="0" y="0"/>
                        <a:chExt cx="1459378" cy="101341"/>
                      </a:xfrm>
                    </wpg:grpSpPr>
                    <wps:wsp>
                      <wps:cNvPr id="1148893887" name="Free-form: Shape 1148893887"/>
                      <wps:cNvSpPr/>
                      <wps:spPr>
                        <a:xfrm>
                          <a:off x="708756" y="0"/>
                          <a:ext cx="750622" cy="101341"/>
                        </a:xfrm>
                        <a:custGeom>
                          <a:avLst/>
                          <a:gdLst>
                            <a:gd name="csX0" fmla="*/ 50734 w 750622"/>
                            <a:gd name="csY0" fmla="*/ 0 h 101341"/>
                            <a:gd name="csX1" fmla="*/ 699888 w 750622"/>
                            <a:gd name="csY1" fmla="*/ 0 h 101341"/>
                            <a:gd name="csX2" fmla="*/ 750622 w 750622"/>
                            <a:gd name="csY2" fmla="*/ 50671 h 101341"/>
                            <a:gd name="csX3" fmla="*/ 699888 w 750622"/>
                            <a:gd name="csY3" fmla="*/ 101341 h 101341"/>
                            <a:gd name="csX4" fmla="*/ 50734 w 750622"/>
                            <a:gd name="csY4" fmla="*/ 101341 h 101341"/>
                            <a:gd name="csX5" fmla="*/ 0 w 750622"/>
                            <a:gd name="csY5" fmla="*/ 50671 h 101341"/>
                            <a:gd name="csX6" fmla="*/ 50734 w 750622"/>
                            <a:gd name="csY6" fmla="*/ 0 h 10134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50622" h="101341">
                              <a:moveTo>
                                <a:pt x="50734" y="0"/>
                              </a:moveTo>
                              <a:lnTo>
                                <a:pt x="699888" y="0"/>
                              </a:lnTo>
                              <a:cubicBezTo>
                                <a:pt x="727884" y="0"/>
                                <a:pt x="750622" y="22675"/>
                                <a:pt x="750622" y="50671"/>
                              </a:cubicBezTo>
                              <a:cubicBezTo>
                                <a:pt x="750622" y="78666"/>
                                <a:pt x="727884" y="101341"/>
                                <a:pt x="699888" y="101341"/>
                              </a:cubicBezTo>
                              <a:lnTo>
                                <a:pt x="50734" y="101341"/>
                              </a:lnTo>
                              <a:cubicBezTo>
                                <a:pt x="22739" y="101341"/>
                                <a:pt x="0" y="78666"/>
                                <a:pt x="0" y="50671"/>
                              </a:cubicBezTo>
                              <a:cubicBezTo>
                                <a:pt x="0" y="22675"/>
                                <a:pt x="22739" y="0"/>
                                <a:pt x="50734" y="0"/>
                              </a:cubicBezTo>
                              <a:close/>
                            </a:path>
                          </a:pathLst>
                        </a:custGeom>
                        <a:solidFill>
                          <a:srgbClr val="DCC0DE"/>
                        </a:solidFill>
                        <a:ln w="6332" cap="flat">
                          <a:noFill/>
                          <a:prstDash val="solid"/>
                          <a:miter/>
                        </a:ln>
                      </wps:spPr>
                      <wps:bodyPr/>
                    </wps:wsp>
                    <wps:wsp>
                      <wps:cNvPr id="587208152" name="Free-form: Shape 587208152"/>
                      <wps:cNvSpPr/>
                      <wps:spPr>
                        <a:xfrm>
                          <a:off x="431714" y="0"/>
                          <a:ext cx="750622" cy="101341"/>
                        </a:xfrm>
                        <a:custGeom>
                          <a:avLst/>
                          <a:gdLst>
                            <a:gd name="csX0" fmla="*/ 50734 w 750622"/>
                            <a:gd name="csY0" fmla="*/ 0 h 101341"/>
                            <a:gd name="csX1" fmla="*/ 699888 w 750622"/>
                            <a:gd name="csY1" fmla="*/ 0 h 101341"/>
                            <a:gd name="csX2" fmla="*/ 750622 w 750622"/>
                            <a:gd name="csY2" fmla="*/ 50671 h 101341"/>
                            <a:gd name="csX3" fmla="*/ 699888 w 750622"/>
                            <a:gd name="csY3" fmla="*/ 101341 h 101341"/>
                            <a:gd name="csX4" fmla="*/ 50734 w 750622"/>
                            <a:gd name="csY4" fmla="*/ 101341 h 101341"/>
                            <a:gd name="csX5" fmla="*/ 0 w 750622"/>
                            <a:gd name="csY5" fmla="*/ 50671 h 101341"/>
                            <a:gd name="csX6" fmla="*/ 50734 w 750622"/>
                            <a:gd name="csY6" fmla="*/ 0 h 10134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750622" h="101341">
                              <a:moveTo>
                                <a:pt x="50734" y="0"/>
                              </a:moveTo>
                              <a:lnTo>
                                <a:pt x="699888" y="0"/>
                              </a:lnTo>
                              <a:cubicBezTo>
                                <a:pt x="727884" y="0"/>
                                <a:pt x="750622" y="22675"/>
                                <a:pt x="750622" y="50671"/>
                              </a:cubicBezTo>
                              <a:cubicBezTo>
                                <a:pt x="750622" y="78666"/>
                                <a:pt x="727884" y="101341"/>
                                <a:pt x="699888" y="101341"/>
                              </a:cubicBezTo>
                              <a:lnTo>
                                <a:pt x="50734" y="101341"/>
                              </a:lnTo>
                              <a:cubicBezTo>
                                <a:pt x="22738" y="101341"/>
                                <a:pt x="0" y="78666"/>
                                <a:pt x="0" y="50671"/>
                              </a:cubicBezTo>
                              <a:cubicBezTo>
                                <a:pt x="0" y="22675"/>
                                <a:pt x="22738" y="0"/>
                                <a:pt x="50734" y="0"/>
                              </a:cubicBezTo>
                              <a:close/>
                            </a:path>
                          </a:pathLst>
                        </a:custGeom>
                        <a:solidFill>
                          <a:srgbClr val="CB93C1"/>
                        </a:solidFill>
                        <a:ln w="6332" cap="flat">
                          <a:noFill/>
                          <a:prstDash val="solid"/>
                          <a:miter/>
                        </a:ln>
                      </wps:spPr>
                      <wps:bodyPr/>
                    </wps:wsp>
                    <wps:wsp>
                      <wps:cNvPr id="1711248847" name="Free-form: Shape 1711248847"/>
                      <wps:cNvSpPr/>
                      <wps:spPr>
                        <a:xfrm>
                          <a:off x="0" y="0"/>
                          <a:ext cx="869635" cy="101341"/>
                        </a:xfrm>
                        <a:custGeom>
                          <a:avLst/>
                          <a:gdLst>
                            <a:gd name="csX0" fmla="*/ 50227 w 869635"/>
                            <a:gd name="csY0" fmla="*/ 0 h 101341"/>
                            <a:gd name="csX1" fmla="*/ 819408 w 869635"/>
                            <a:gd name="csY1" fmla="*/ 0 h 101341"/>
                            <a:gd name="csX2" fmla="*/ 869635 w 869635"/>
                            <a:gd name="csY2" fmla="*/ 50671 h 101341"/>
                            <a:gd name="csX3" fmla="*/ 819408 w 869635"/>
                            <a:gd name="csY3" fmla="*/ 101341 h 101341"/>
                            <a:gd name="csX4" fmla="*/ 50227 w 869635"/>
                            <a:gd name="csY4" fmla="*/ 101341 h 101341"/>
                            <a:gd name="csX5" fmla="*/ 0 w 869635"/>
                            <a:gd name="csY5" fmla="*/ 50671 h 101341"/>
                            <a:gd name="csX6" fmla="*/ 50227 w 869635"/>
                            <a:gd name="csY6" fmla="*/ 0 h 10134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69635" h="101341">
                              <a:moveTo>
                                <a:pt x="50227" y="0"/>
                              </a:moveTo>
                              <a:lnTo>
                                <a:pt x="819408" y="0"/>
                              </a:lnTo>
                              <a:cubicBezTo>
                                <a:pt x="847150" y="0"/>
                                <a:pt x="869635" y="22675"/>
                                <a:pt x="869635" y="50671"/>
                              </a:cubicBezTo>
                              <a:cubicBezTo>
                                <a:pt x="869635" y="78666"/>
                                <a:pt x="847150" y="101341"/>
                                <a:pt x="819408" y="101341"/>
                              </a:cubicBezTo>
                              <a:lnTo>
                                <a:pt x="50227" y="101341"/>
                              </a:lnTo>
                              <a:cubicBezTo>
                                <a:pt x="22485" y="101341"/>
                                <a:pt x="0" y="78666"/>
                                <a:pt x="0" y="50671"/>
                              </a:cubicBezTo>
                              <a:cubicBezTo>
                                <a:pt x="0" y="22675"/>
                                <a:pt x="22485" y="0"/>
                                <a:pt x="50227" y="0"/>
                              </a:cubicBezTo>
                              <a:close/>
                            </a:path>
                          </a:pathLst>
                        </a:custGeom>
                        <a:solidFill>
                          <a:srgbClr val="821770"/>
                        </a:solidFill>
                        <a:ln w="6332" cap="flat">
                          <a:noFill/>
                          <a:prstDash val="solid"/>
                          <a:miter/>
                        </a:ln>
                      </wps:spPr>
                      <wps:bodyPr/>
                    </wps:wsp>
                  </wpg:wgp>
                </a:graphicData>
              </a:graphic>
            </wp:anchor>
          </w:drawing>
        </mc:Choice>
        <mc:Fallback>
          <w:pict w14:anchorId="02B5A20A">
            <v:group id="Group 44" style="position:absolute;margin-left:-12.05pt;margin-top:-15.45pt;width:160.55pt;height:11.15pt;z-index:251658244;mso-position-horizontal-relative:page" coordsize="14593,1013" o:spid="_x0000_s1026" w14:anchorId="7BFFBD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">
              <v:shape id="Free-form: Shape 1148893887" style="position:absolute;left:7087;width:7506;height:1013;visibility:visible;mso-wrap-style:square;v-text-anchor:top" coordsize="750622,101341" o:spid="_x0000_s1027" fillcolor="#dcc0de" stroked="f" strokeweight=".17589mm" path="m50734,l699888,v27996,,50734,22675,50734,50671c750622,78666,727884,101341,699888,101341r-649154,c22739,101341,,78666,,50671,,22675,22739,,507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">
                <v:stroke joinstyle="miter"/>
                <v:path arrowok="t" o:connecttype="custom" o:connectlocs="50734,0;699888,0;750622,50671;699888,101341;50734,101341;0,50671;50734,0" o:connectangles="0,0,0,0,0,0,0"/>
              </v:shape>
              <v:shape id="Free-form: Shape 587208152" style="position:absolute;left:4317;width:7506;height:1013;visibility:visible;mso-wrap-style:square;v-text-anchor:top" coordsize="750622,101341" o:spid="_x0000_s1028" fillcolor="#cb93c1" stroked="f" strokeweight=".17589mm" path="m50734,l699888,v27996,,50734,22675,50734,50671c750622,78666,727884,101341,699888,101341r-649154,c22738,101341,,78666,,50671,,22675,22738,,507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">
                <v:stroke joinstyle="miter"/>
                <v:path arrowok="t" o:connecttype="custom" o:connectlocs="50734,0;699888,0;750622,50671;699888,101341;50734,101341;0,50671;50734,0" o:connectangles="0,0,0,0,0,0,0"/>
              </v:shape>
              <v:shape id="Free-form: Shape 1711248847" style="position:absolute;width:8696;height:1013;visibility:visible;mso-wrap-style:square;v-text-anchor:top" coordsize="869635,101341" o:spid="_x0000_s1029" fillcolor="#821770" stroked="f" strokeweight=".17589mm" path="m50227,l819408,v27742,,50227,22675,50227,50671c869635,78666,847150,101341,819408,101341r-769181,c22485,101341,,78666,,50671,,22675,22485,,50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">
                <v:stroke joinstyle="miter"/>
                <v:path arrowok="t" o:connecttype="custom" o:connectlocs="50227,0;819408,0;869635,50671;819408,101341;50227,101341;0,50671;50227,0" o:connectangles="0,0,0,0,0,0,0"/>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084FDD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DCC7324"/>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E75EF5"/>
    <w:multiLevelType w:val="hybridMultilevel"/>
    <w:tmpl w:val="ADBA63E6"/>
    <w:lvl w:ilvl="0" w:tplc="140EB68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E57128"/>
    <w:multiLevelType w:val="hybridMultilevel"/>
    <w:tmpl w:val="F3BE6128"/>
    <w:lvl w:ilvl="0" w:tplc="0C09000F">
      <w:start w:val="1"/>
      <w:numFmt w:val="decimal"/>
      <w:lvlText w:val="%1."/>
      <w:lvlJc w:val="left"/>
      <w:pPr>
        <w:ind w:left="72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5" w15:restartNumberingAfterBreak="0">
    <w:nsid w:val="0D2871DF"/>
    <w:multiLevelType w:val="hybridMultilevel"/>
    <w:tmpl w:val="9CBC45CC"/>
    <w:lvl w:ilvl="0" w:tplc="0C090001">
      <w:start w:val="1"/>
      <w:numFmt w:val="bullet"/>
      <w:lvlText w:val=""/>
      <w:lvlJc w:val="left"/>
      <w:pPr>
        <w:ind w:left="927" w:hanging="360"/>
      </w:pPr>
      <w:rPr>
        <w:rFonts w:hint="default" w:ascii="Symbol" w:hAnsi="Symbol"/>
      </w:rPr>
    </w:lvl>
    <w:lvl w:ilvl="1" w:tplc="0C090003" w:tentative="1">
      <w:start w:val="1"/>
      <w:numFmt w:val="bullet"/>
      <w:lvlText w:val="o"/>
      <w:lvlJc w:val="left"/>
      <w:pPr>
        <w:ind w:left="1647" w:hanging="360"/>
      </w:pPr>
      <w:rPr>
        <w:rFonts w:hint="default" w:ascii="Courier New" w:hAnsi="Courier New" w:cs="Courier New"/>
      </w:rPr>
    </w:lvl>
    <w:lvl w:ilvl="2" w:tplc="0C090005" w:tentative="1">
      <w:start w:val="1"/>
      <w:numFmt w:val="bullet"/>
      <w:lvlText w:val=""/>
      <w:lvlJc w:val="left"/>
      <w:pPr>
        <w:ind w:left="2367" w:hanging="360"/>
      </w:pPr>
      <w:rPr>
        <w:rFonts w:hint="default" w:ascii="Wingdings" w:hAnsi="Wingdings"/>
      </w:rPr>
    </w:lvl>
    <w:lvl w:ilvl="3" w:tplc="0C090001" w:tentative="1">
      <w:start w:val="1"/>
      <w:numFmt w:val="bullet"/>
      <w:lvlText w:val=""/>
      <w:lvlJc w:val="left"/>
      <w:pPr>
        <w:ind w:left="3087" w:hanging="360"/>
      </w:pPr>
      <w:rPr>
        <w:rFonts w:hint="default" w:ascii="Symbol" w:hAnsi="Symbol"/>
      </w:rPr>
    </w:lvl>
    <w:lvl w:ilvl="4" w:tplc="0C090003" w:tentative="1">
      <w:start w:val="1"/>
      <w:numFmt w:val="bullet"/>
      <w:lvlText w:val="o"/>
      <w:lvlJc w:val="left"/>
      <w:pPr>
        <w:ind w:left="3807" w:hanging="360"/>
      </w:pPr>
      <w:rPr>
        <w:rFonts w:hint="default" w:ascii="Courier New" w:hAnsi="Courier New" w:cs="Courier New"/>
      </w:rPr>
    </w:lvl>
    <w:lvl w:ilvl="5" w:tplc="0C090005" w:tentative="1">
      <w:start w:val="1"/>
      <w:numFmt w:val="bullet"/>
      <w:lvlText w:val=""/>
      <w:lvlJc w:val="left"/>
      <w:pPr>
        <w:ind w:left="4527" w:hanging="360"/>
      </w:pPr>
      <w:rPr>
        <w:rFonts w:hint="default" w:ascii="Wingdings" w:hAnsi="Wingdings"/>
      </w:rPr>
    </w:lvl>
    <w:lvl w:ilvl="6" w:tplc="0C090001" w:tentative="1">
      <w:start w:val="1"/>
      <w:numFmt w:val="bullet"/>
      <w:lvlText w:val=""/>
      <w:lvlJc w:val="left"/>
      <w:pPr>
        <w:ind w:left="5247" w:hanging="360"/>
      </w:pPr>
      <w:rPr>
        <w:rFonts w:hint="default" w:ascii="Symbol" w:hAnsi="Symbol"/>
      </w:rPr>
    </w:lvl>
    <w:lvl w:ilvl="7" w:tplc="0C090003" w:tentative="1">
      <w:start w:val="1"/>
      <w:numFmt w:val="bullet"/>
      <w:lvlText w:val="o"/>
      <w:lvlJc w:val="left"/>
      <w:pPr>
        <w:ind w:left="5967" w:hanging="360"/>
      </w:pPr>
      <w:rPr>
        <w:rFonts w:hint="default" w:ascii="Courier New" w:hAnsi="Courier New" w:cs="Courier New"/>
      </w:rPr>
    </w:lvl>
    <w:lvl w:ilvl="8" w:tplc="0C090005" w:tentative="1">
      <w:start w:val="1"/>
      <w:numFmt w:val="bullet"/>
      <w:lvlText w:val=""/>
      <w:lvlJc w:val="left"/>
      <w:pPr>
        <w:ind w:left="6687" w:hanging="360"/>
      </w:pPr>
      <w:rPr>
        <w:rFonts w:hint="default" w:ascii="Wingdings" w:hAnsi="Wingdings"/>
      </w:rPr>
    </w:lvl>
  </w:abstractNum>
  <w:abstractNum w:abstractNumId="6" w15:restartNumberingAfterBreak="0">
    <w:nsid w:val="11004F68"/>
    <w:multiLevelType w:val="hybridMultilevel"/>
    <w:tmpl w:val="30ACA264"/>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7" w15:restartNumberingAfterBreak="0">
    <w:nsid w:val="13474D89"/>
    <w:multiLevelType w:val="hybridMultilevel"/>
    <w:tmpl w:val="76BA45F2"/>
    <w:lvl w:ilvl="0" w:tplc="617400E4">
      <w:start w:val="4"/>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695807"/>
    <w:multiLevelType w:val="hybridMultilevel"/>
    <w:tmpl w:val="46C44ADA"/>
    <w:lvl w:ilvl="0" w:tplc="EFFC5716">
      <w:start w:val="1"/>
      <w:numFmt w:val="bullet"/>
      <w:lvlText w:val=""/>
      <w:lvlJc w:val="left"/>
      <w:pPr>
        <w:ind w:left="360" w:hanging="360"/>
      </w:pPr>
      <w:rPr>
        <w:rFonts w:hint="default" w:ascii="Symbol" w:hAnsi="Symbol"/>
      </w:rPr>
    </w:lvl>
    <w:lvl w:ilvl="1" w:tplc="0C090003" w:tentative="1">
      <w:start w:val="1"/>
      <w:numFmt w:val="bullet"/>
      <w:lvlText w:val="o"/>
      <w:lvlJc w:val="left"/>
      <w:pPr>
        <w:ind w:left="720" w:hanging="360"/>
      </w:pPr>
      <w:rPr>
        <w:rFonts w:hint="default" w:ascii="Courier New" w:hAnsi="Courier New" w:cs="Courier New"/>
      </w:rPr>
    </w:lvl>
    <w:lvl w:ilvl="2" w:tplc="0C090005" w:tentative="1">
      <w:start w:val="1"/>
      <w:numFmt w:val="bullet"/>
      <w:lvlText w:val=""/>
      <w:lvlJc w:val="left"/>
      <w:pPr>
        <w:ind w:left="1440" w:hanging="360"/>
      </w:pPr>
      <w:rPr>
        <w:rFonts w:hint="default" w:ascii="Wingdings" w:hAnsi="Wingdings"/>
      </w:rPr>
    </w:lvl>
    <w:lvl w:ilvl="3" w:tplc="0C090001" w:tentative="1">
      <w:start w:val="1"/>
      <w:numFmt w:val="bullet"/>
      <w:lvlText w:val=""/>
      <w:lvlJc w:val="left"/>
      <w:pPr>
        <w:ind w:left="2160" w:hanging="360"/>
      </w:pPr>
      <w:rPr>
        <w:rFonts w:hint="default" w:ascii="Symbol" w:hAnsi="Symbol"/>
      </w:rPr>
    </w:lvl>
    <w:lvl w:ilvl="4" w:tplc="0C090003" w:tentative="1">
      <w:start w:val="1"/>
      <w:numFmt w:val="bullet"/>
      <w:lvlText w:val="o"/>
      <w:lvlJc w:val="left"/>
      <w:pPr>
        <w:ind w:left="2880" w:hanging="360"/>
      </w:pPr>
      <w:rPr>
        <w:rFonts w:hint="default" w:ascii="Courier New" w:hAnsi="Courier New" w:cs="Courier New"/>
      </w:rPr>
    </w:lvl>
    <w:lvl w:ilvl="5" w:tplc="0C090005" w:tentative="1">
      <w:start w:val="1"/>
      <w:numFmt w:val="bullet"/>
      <w:lvlText w:val=""/>
      <w:lvlJc w:val="left"/>
      <w:pPr>
        <w:ind w:left="3600" w:hanging="360"/>
      </w:pPr>
      <w:rPr>
        <w:rFonts w:hint="default" w:ascii="Wingdings" w:hAnsi="Wingdings"/>
      </w:rPr>
    </w:lvl>
    <w:lvl w:ilvl="6" w:tplc="0C090001" w:tentative="1">
      <w:start w:val="1"/>
      <w:numFmt w:val="bullet"/>
      <w:lvlText w:val=""/>
      <w:lvlJc w:val="left"/>
      <w:pPr>
        <w:ind w:left="4320" w:hanging="360"/>
      </w:pPr>
      <w:rPr>
        <w:rFonts w:hint="default" w:ascii="Symbol" w:hAnsi="Symbol"/>
      </w:rPr>
    </w:lvl>
    <w:lvl w:ilvl="7" w:tplc="0C090003" w:tentative="1">
      <w:start w:val="1"/>
      <w:numFmt w:val="bullet"/>
      <w:lvlText w:val="o"/>
      <w:lvlJc w:val="left"/>
      <w:pPr>
        <w:ind w:left="5040" w:hanging="360"/>
      </w:pPr>
      <w:rPr>
        <w:rFonts w:hint="default" w:ascii="Courier New" w:hAnsi="Courier New" w:cs="Courier New"/>
      </w:rPr>
    </w:lvl>
    <w:lvl w:ilvl="8" w:tplc="0C090005" w:tentative="1">
      <w:start w:val="1"/>
      <w:numFmt w:val="bullet"/>
      <w:lvlText w:val=""/>
      <w:lvlJc w:val="left"/>
      <w:pPr>
        <w:ind w:left="5760" w:hanging="360"/>
      </w:pPr>
      <w:rPr>
        <w:rFonts w:hint="default" w:ascii="Wingdings" w:hAnsi="Wingdings"/>
      </w:rPr>
    </w:lvl>
  </w:abstractNum>
  <w:abstractNum w:abstractNumId="9" w15:restartNumberingAfterBreak="0">
    <w:nsid w:val="172A5CE4"/>
    <w:multiLevelType w:val="hybridMultilevel"/>
    <w:tmpl w:val="B39E58D8"/>
    <w:lvl w:ilvl="0" w:tplc="97589CB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142AB8"/>
    <w:multiLevelType w:val="hybridMultilevel"/>
    <w:tmpl w:val="3B964F0E"/>
    <w:lvl w:ilvl="0" w:tplc="EFFC5716">
      <w:start w:val="1"/>
      <w:numFmt w:val="bullet"/>
      <w:lvlText w:val=""/>
      <w:lvlJc w:val="left"/>
      <w:pPr>
        <w:ind w:left="3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1E8A5B69"/>
    <w:multiLevelType w:val="hybridMultilevel"/>
    <w:tmpl w:val="BE1A7B46"/>
    <w:lvl w:ilvl="0" w:tplc="59CA0A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E903FB5"/>
    <w:multiLevelType w:val="hybridMultilevel"/>
    <w:tmpl w:val="78863F18"/>
    <w:lvl w:ilvl="0" w:tplc="0C090001">
      <w:start w:val="1"/>
      <w:numFmt w:val="bullet"/>
      <w:lvlText w:val=""/>
      <w:lvlJc w:val="left"/>
      <w:pPr>
        <w:ind w:left="780" w:hanging="360"/>
      </w:pPr>
      <w:rPr>
        <w:rFonts w:hint="default" w:ascii="Symbol" w:hAnsi="Symbol"/>
      </w:rPr>
    </w:lvl>
    <w:lvl w:ilvl="1" w:tplc="0C090003" w:tentative="1">
      <w:start w:val="1"/>
      <w:numFmt w:val="bullet"/>
      <w:lvlText w:val="o"/>
      <w:lvlJc w:val="left"/>
      <w:pPr>
        <w:ind w:left="1500" w:hanging="360"/>
      </w:pPr>
      <w:rPr>
        <w:rFonts w:hint="default" w:ascii="Courier New" w:hAnsi="Courier New" w:cs="Courier New"/>
      </w:rPr>
    </w:lvl>
    <w:lvl w:ilvl="2" w:tplc="0C090005" w:tentative="1">
      <w:start w:val="1"/>
      <w:numFmt w:val="bullet"/>
      <w:lvlText w:val=""/>
      <w:lvlJc w:val="left"/>
      <w:pPr>
        <w:ind w:left="2220" w:hanging="360"/>
      </w:pPr>
      <w:rPr>
        <w:rFonts w:hint="default" w:ascii="Wingdings" w:hAnsi="Wingdings"/>
      </w:rPr>
    </w:lvl>
    <w:lvl w:ilvl="3" w:tplc="0C090001" w:tentative="1">
      <w:start w:val="1"/>
      <w:numFmt w:val="bullet"/>
      <w:lvlText w:val=""/>
      <w:lvlJc w:val="left"/>
      <w:pPr>
        <w:ind w:left="2940" w:hanging="360"/>
      </w:pPr>
      <w:rPr>
        <w:rFonts w:hint="default" w:ascii="Symbol" w:hAnsi="Symbol"/>
      </w:rPr>
    </w:lvl>
    <w:lvl w:ilvl="4" w:tplc="0C090003" w:tentative="1">
      <w:start w:val="1"/>
      <w:numFmt w:val="bullet"/>
      <w:lvlText w:val="o"/>
      <w:lvlJc w:val="left"/>
      <w:pPr>
        <w:ind w:left="3660" w:hanging="360"/>
      </w:pPr>
      <w:rPr>
        <w:rFonts w:hint="default" w:ascii="Courier New" w:hAnsi="Courier New" w:cs="Courier New"/>
      </w:rPr>
    </w:lvl>
    <w:lvl w:ilvl="5" w:tplc="0C090005" w:tentative="1">
      <w:start w:val="1"/>
      <w:numFmt w:val="bullet"/>
      <w:lvlText w:val=""/>
      <w:lvlJc w:val="left"/>
      <w:pPr>
        <w:ind w:left="4380" w:hanging="360"/>
      </w:pPr>
      <w:rPr>
        <w:rFonts w:hint="default" w:ascii="Wingdings" w:hAnsi="Wingdings"/>
      </w:rPr>
    </w:lvl>
    <w:lvl w:ilvl="6" w:tplc="0C090001" w:tentative="1">
      <w:start w:val="1"/>
      <w:numFmt w:val="bullet"/>
      <w:lvlText w:val=""/>
      <w:lvlJc w:val="left"/>
      <w:pPr>
        <w:ind w:left="5100" w:hanging="360"/>
      </w:pPr>
      <w:rPr>
        <w:rFonts w:hint="default" w:ascii="Symbol" w:hAnsi="Symbol"/>
      </w:rPr>
    </w:lvl>
    <w:lvl w:ilvl="7" w:tplc="0C090003" w:tentative="1">
      <w:start w:val="1"/>
      <w:numFmt w:val="bullet"/>
      <w:lvlText w:val="o"/>
      <w:lvlJc w:val="left"/>
      <w:pPr>
        <w:ind w:left="5820" w:hanging="360"/>
      </w:pPr>
      <w:rPr>
        <w:rFonts w:hint="default" w:ascii="Courier New" w:hAnsi="Courier New" w:cs="Courier New"/>
      </w:rPr>
    </w:lvl>
    <w:lvl w:ilvl="8" w:tplc="0C090005" w:tentative="1">
      <w:start w:val="1"/>
      <w:numFmt w:val="bullet"/>
      <w:lvlText w:val=""/>
      <w:lvlJc w:val="left"/>
      <w:pPr>
        <w:ind w:left="6540" w:hanging="360"/>
      </w:pPr>
      <w:rPr>
        <w:rFonts w:hint="default" w:ascii="Wingdings" w:hAnsi="Wingdings"/>
      </w:rPr>
    </w:lvl>
  </w:abstractNum>
  <w:abstractNum w:abstractNumId="13" w15:restartNumberingAfterBreak="0">
    <w:nsid w:val="261D7040"/>
    <w:multiLevelType w:val="hybridMultilevel"/>
    <w:tmpl w:val="3A84474E"/>
    <w:lvl w:ilvl="0" w:tplc="0C090001">
      <w:start w:val="1"/>
      <w:numFmt w:val="bullet"/>
      <w:lvlText w:val=""/>
      <w:lvlJc w:val="left"/>
      <w:pPr>
        <w:ind w:left="780" w:hanging="360"/>
      </w:pPr>
      <w:rPr>
        <w:rFonts w:hint="default" w:ascii="Symbol" w:hAnsi="Symbol"/>
      </w:rPr>
    </w:lvl>
    <w:lvl w:ilvl="1" w:tplc="0C090003" w:tentative="1">
      <w:start w:val="1"/>
      <w:numFmt w:val="bullet"/>
      <w:lvlText w:val="o"/>
      <w:lvlJc w:val="left"/>
      <w:pPr>
        <w:ind w:left="1500" w:hanging="360"/>
      </w:pPr>
      <w:rPr>
        <w:rFonts w:hint="default" w:ascii="Courier New" w:hAnsi="Courier New" w:cs="Courier New"/>
      </w:rPr>
    </w:lvl>
    <w:lvl w:ilvl="2" w:tplc="0C090005" w:tentative="1">
      <w:start w:val="1"/>
      <w:numFmt w:val="bullet"/>
      <w:lvlText w:val=""/>
      <w:lvlJc w:val="left"/>
      <w:pPr>
        <w:ind w:left="2220" w:hanging="360"/>
      </w:pPr>
      <w:rPr>
        <w:rFonts w:hint="default" w:ascii="Wingdings" w:hAnsi="Wingdings"/>
      </w:rPr>
    </w:lvl>
    <w:lvl w:ilvl="3" w:tplc="0C090001" w:tentative="1">
      <w:start w:val="1"/>
      <w:numFmt w:val="bullet"/>
      <w:lvlText w:val=""/>
      <w:lvlJc w:val="left"/>
      <w:pPr>
        <w:ind w:left="2940" w:hanging="360"/>
      </w:pPr>
      <w:rPr>
        <w:rFonts w:hint="default" w:ascii="Symbol" w:hAnsi="Symbol"/>
      </w:rPr>
    </w:lvl>
    <w:lvl w:ilvl="4" w:tplc="0C090003" w:tentative="1">
      <w:start w:val="1"/>
      <w:numFmt w:val="bullet"/>
      <w:lvlText w:val="o"/>
      <w:lvlJc w:val="left"/>
      <w:pPr>
        <w:ind w:left="3660" w:hanging="360"/>
      </w:pPr>
      <w:rPr>
        <w:rFonts w:hint="default" w:ascii="Courier New" w:hAnsi="Courier New" w:cs="Courier New"/>
      </w:rPr>
    </w:lvl>
    <w:lvl w:ilvl="5" w:tplc="0C090005" w:tentative="1">
      <w:start w:val="1"/>
      <w:numFmt w:val="bullet"/>
      <w:lvlText w:val=""/>
      <w:lvlJc w:val="left"/>
      <w:pPr>
        <w:ind w:left="4380" w:hanging="360"/>
      </w:pPr>
      <w:rPr>
        <w:rFonts w:hint="default" w:ascii="Wingdings" w:hAnsi="Wingdings"/>
      </w:rPr>
    </w:lvl>
    <w:lvl w:ilvl="6" w:tplc="0C090001" w:tentative="1">
      <w:start w:val="1"/>
      <w:numFmt w:val="bullet"/>
      <w:lvlText w:val=""/>
      <w:lvlJc w:val="left"/>
      <w:pPr>
        <w:ind w:left="5100" w:hanging="360"/>
      </w:pPr>
      <w:rPr>
        <w:rFonts w:hint="default" w:ascii="Symbol" w:hAnsi="Symbol"/>
      </w:rPr>
    </w:lvl>
    <w:lvl w:ilvl="7" w:tplc="0C090003" w:tentative="1">
      <w:start w:val="1"/>
      <w:numFmt w:val="bullet"/>
      <w:lvlText w:val="o"/>
      <w:lvlJc w:val="left"/>
      <w:pPr>
        <w:ind w:left="5820" w:hanging="360"/>
      </w:pPr>
      <w:rPr>
        <w:rFonts w:hint="default" w:ascii="Courier New" w:hAnsi="Courier New" w:cs="Courier New"/>
      </w:rPr>
    </w:lvl>
    <w:lvl w:ilvl="8" w:tplc="0C090005" w:tentative="1">
      <w:start w:val="1"/>
      <w:numFmt w:val="bullet"/>
      <w:lvlText w:val=""/>
      <w:lvlJc w:val="left"/>
      <w:pPr>
        <w:ind w:left="6540" w:hanging="360"/>
      </w:pPr>
      <w:rPr>
        <w:rFonts w:hint="default" w:ascii="Wingdings" w:hAnsi="Wingdings"/>
      </w:rPr>
    </w:lvl>
  </w:abstractNum>
  <w:abstractNum w:abstractNumId="14" w15:restartNumberingAfterBreak="0">
    <w:nsid w:val="26F668A5"/>
    <w:multiLevelType w:val="hybridMultilevel"/>
    <w:tmpl w:val="A7B09558"/>
    <w:lvl w:ilvl="0" w:tplc="0C09000F">
      <w:start w:val="1"/>
      <w:numFmt w:val="decimal"/>
      <w:lvlText w:val="%1."/>
      <w:lvlJc w:val="left"/>
      <w:pPr>
        <w:ind w:left="717" w:hanging="360"/>
      </w:pPr>
    </w:lvl>
    <w:lvl w:ilvl="1" w:tplc="0C090019" w:tentative="1">
      <w:start w:val="1"/>
      <w:numFmt w:val="lowerLetter"/>
      <w:lvlText w:val="%2."/>
      <w:lvlJc w:val="left"/>
      <w:pPr>
        <w:ind w:left="1153" w:hanging="360"/>
      </w:pPr>
    </w:lvl>
    <w:lvl w:ilvl="2" w:tplc="0C09001B" w:tentative="1">
      <w:start w:val="1"/>
      <w:numFmt w:val="lowerRoman"/>
      <w:lvlText w:val="%3."/>
      <w:lvlJc w:val="right"/>
      <w:pPr>
        <w:ind w:left="1873" w:hanging="180"/>
      </w:pPr>
    </w:lvl>
    <w:lvl w:ilvl="3" w:tplc="0C09000F" w:tentative="1">
      <w:start w:val="1"/>
      <w:numFmt w:val="decimal"/>
      <w:lvlText w:val="%4."/>
      <w:lvlJc w:val="left"/>
      <w:pPr>
        <w:ind w:left="2593" w:hanging="360"/>
      </w:pPr>
    </w:lvl>
    <w:lvl w:ilvl="4" w:tplc="0C090019" w:tentative="1">
      <w:start w:val="1"/>
      <w:numFmt w:val="lowerLetter"/>
      <w:lvlText w:val="%5."/>
      <w:lvlJc w:val="left"/>
      <w:pPr>
        <w:ind w:left="3313" w:hanging="360"/>
      </w:pPr>
    </w:lvl>
    <w:lvl w:ilvl="5" w:tplc="0C09001B" w:tentative="1">
      <w:start w:val="1"/>
      <w:numFmt w:val="lowerRoman"/>
      <w:lvlText w:val="%6."/>
      <w:lvlJc w:val="right"/>
      <w:pPr>
        <w:ind w:left="4033" w:hanging="180"/>
      </w:pPr>
    </w:lvl>
    <w:lvl w:ilvl="6" w:tplc="0C09000F" w:tentative="1">
      <w:start w:val="1"/>
      <w:numFmt w:val="decimal"/>
      <w:lvlText w:val="%7."/>
      <w:lvlJc w:val="left"/>
      <w:pPr>
        <w:ind w:left="4753" w:hanging="360"/>
      </w:pPr>
    </w:lvl>
    <w:lvl w:ilvl="7" w:tplc="0C090019" w:tentative="1">
      <w:start w:val="1"/>
      <w:numFmt w:val="lowerLetter"/>
      <w:lvlText w:val="%8."/>
      <w:lvlJc w:val="left"/>
      <w:pPr>
        <w:ind w:left="5473" w:hanging="360"/>
      </w:pPr>
    </w:lvl>
    <w:lvl w:ilvl="8" w:tplc="0C09001B" w:tentative="1">
      <w:start w:val="1"/>
      <w:numFmt w:val="lowerRoman"/>
      <w:lvlText w:val="%9."/>
      <w:lvlJc w:val="right"/>
      <w:pPr>
        <w:ind w:left="6193" w:hanging="180"/>
      </w:pPr>
    </w:lvl>
  </w:abstractNum>
  <w:abstractNum w:abstractNumId="15" w15:restartNumberingAfterBreak="0">
    <w:nsid w:val="346A7864"/>
    <w:multiLevelType w:val="hybridMultilevel"/>
    <w:tmpl w:val="CD746BC4"/>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6" w15:restartNumberingAfterBreak="0">
    <w:nsid w:val="365C257E"/>
    <w:multiLevelType w:val="hybridMultilevel"/>
    <w:tmpl w:val="6BF86DC8"/>
    <w:lvl w:ilvl="0" w:tplc="120A4F98">
      <w:start w:val="1"/>
      <w:numFmt w:val="bullet"/>
      <w:lvlText w:val=""/>
      <w:lvlJc w:val="left"/>
      <w:pPr>
        <w:ind w:left="720" w:hanging="360"/>
      </w:pPr>
      <w:rPr>
        <w:rFonts w:hint="default" w:ascii="Symbol" w:hAnsi="Symbol"/>
      </w:rPr>
    </w:lvl>
    <w:lvl w:ilvl="1" w:tplc="FC76D134">
      <w:start w:val="1"/>
      <w:numFmt w:val="bullet"/>
      <w:lvlText w:val="o"/>
      <w:lvlJc w:val="left"/>
      <w:pPr>
        <w:ind w:left="1440" w:hanging="360"/>
      </w:pPr>
      <w:rPr>
        <w:rFonts w:hint="default" w:ascii="Courier New" w:hAnsi="Courier New"/>
      </w:rPr>
    </w:lvl>
    <w:lvl w:ilvl="2" w:tplc="46080C7C">
      <w:start w:val="1"/>
      <w:numFmt w:val="bullet"/>
      <w:lvlText w:val=""/>
      <w:lvlJc w:val="left"/>
      <w:pPr>
        <w:ind w:left="2160" w:hanging="360"/>
      </w:pPr>
      <w:rPr>
        <w:rFonts w:hint="default" w:ascii="Wingdings" w:hAnsi="Wingdings"/>
      </w:rPr>
    </w:lvl>
    <w:lvl w:ilvl="3" w:tplc="34168D20">
      <w:start w:val="1"/>
      <w:numFmt w:val="bullet"/>
      <w:lvlText w:val=""/>
      <w:lvlJc w:val="left"/>
      <w:pPr>
        <w:ind w:left="2880" w:hanging="360"/>
      </w:pPr>
      <w:rPr>
        <w:rFonts w:hint="default" w:ascii="Symbol" w:hAnsi="Symbol"/>
      </w:rPr>
    </w:lvl>
    <w:lvl w:ilvl="4" w:tplc="99968188">
      <w:start w:val="1"/>
      <w:numFmt w:val="bullet"/>
      <w:lvlText w:val="o"/>
      <w:lvlJc w:val="left"/>
      <w:pPr>
        <w:ind w:left="3600" w:hanging="360"/>
      </w:pPr>
      <w:rPr>
        <w:rFonts w:hint="default" w:ascii="Courier New" w:hAnsi="Courier New"/>
      </w:rPr>
    </w:lvl>
    <w:lvl w:ilvl="5" w:tplc="AC74924C">
      <w:start w:val="1"/>
      <w:numFmt w:val="bullet"/>
      <w:lvlText w:val=""/>
      <w:lvlJc w:val="left"/>
      <w:pPr>
        <w:ind w:left="4320" w:hanging="360"/>
      </w:pPr>
      <w:rPr>
        <w:rFonts w:hint="default" w:ascii="Wingdings" w:hAnsi="Wingdings"/>
      </w:rPr>
    </w:lvl>
    <w:lvl w:ilvl="6" w:tplc="FDD20C7C">
      <w:start w:val="1"/>
      <w:numFmt w:val="bullet"/>
      <w:lvlText w:val=""/>
      <w:lvlJc w:val="left"/>
      <w:pPr>
        <w:ind w:left="5040" w:hanging="360"/>
      </w:pPr>
      <w:rPr>
        <w:rFonts w:hint="default" w:ascii="Symbol" w:hAnsi="Symbol"/>
      </w:rPr>
    </w:lvl>
    <w:lvl w:ilvl="7" w:tplc="41E8B780">
      <w:start w:val="1"/>
      <w:numFmt w:val="bullet"/>
      <w:lvlText w:val="o"/>
      <w:lvlJc w:val="left"/>
      <w:pPr>
        <w:ind w:left="5760" w:hanging="360"/>
      </w:pPr>
      <w:rPr>
        <w:rFonts w:hint="default" w:ascii="Courier New" w:hAnsi="Courier New"/>
      </w:rPr>
    </w:lvl>
    <w:lvl w:ilvl="8" w:tplc="214CCBE2">
      <w:start w:val="1"/>
      <w:numFmt w:val="bullet"/>
      <w:lvlText w:val=""/>
      <w:lvlJc w:val="left"/>
      <w:pPr>
        <w:ind w:left="6480" w:hanging="360"/>
      </w:pPr>
      <w:rPr>
        <w:rFonts w:hint="default" w:ascii="Wingdings" w:hAnsi="Wingdings"/>
      </w:rPr>
    </w:lvl>
  </w:abstractNum>
  <w:abstractNum w:abstractNumId="17" w15:restartNumberingAfterBreak="0">
    <w:nsid w:val="37F27FA1"/>
    <w:multiLevelType w:val="hybridMultilevel"/>
    <w:tmpl w:val="7E48363A"/>
    <w:lvl w:ilvl="0" w:tplc="EFFC5716">
      <w:start w:val="1"/>
      <w:numFmt w:val="bullet"/>
      <w:lvlText w:val=""/>
      <w:lvlJc w:val="left"/>
      <w:pPr>
        <w:ind w:left="360" w:hanging="360"/>
      </w:pPr>
      <w:rPr>
        <w:rFonts w:hint="default" w:ascii="Symbol" w:hAnsi="Symbol"/>
      </w:rPr>
    </w:lvl>
    <w:lvl w:ilvl="1" w:tplc="0C090003" w:tentative="1">
      <w:start w:val="1"/>
      <w:numFmt w:val="bullet"/>
      <w:lvlText w:val="o"/>
      <w:lvlJc w:val="left"/>
      <w:pPr>
        <w:ind w:left="720" w:hanging="360"/>
      </w:pPr>
      <w:rPr>
        <w:rFonts w:hint="default" w:ascii="Courier New" w:hAnsi="Courier New" w:cs="Courier New"/>
      </w:rPr>
    </w:lvl>
    <w:lvl w:ilvl="2" w:tplc="0C090005" w:tentative="1">
      <w:start w:val="1"/>
      <w:numFmt w:val="bullet"/>
      <w:lvlText w:val=""/>
      <w:lvlJc w:val="left"/>
      <w:pPr>
        <w:ind w:left="1440" w:hanging="360"/>
      </w:pPr>
      <w:rPr>
        <w:rFonts w:hint="default" w:ascii="Wingdings" w:hAnsi="Wingdings"/>
      </w:rPr>
    </w:lvl>
    <w:lvl w:ilvl="3" w:tplc="0C090001" w:tentative="1">
      <w:start w:val="1"/>
      <w:numFmt w:val="bullet"/>
      <w:lvlText w:val=""/>
      <w:lvlJc w:val="left"/>
      <w:pPr>
        <w:ind w:left="2160" w:hanging="360"/>
      </w:pPr>
      <w:rPr>
        <w:rFonts w:hint="default" w:ascii="Symbol" w:hAnsi="Symbol"/>
      </w:rPr>
    </w:lvl>
    <w:lvl w:ilvl="4" w:tplc="0C090003" w:tentative="1">
      <w:start w:val="1"/>
      <w:numFmt w:val="bullet"/>
      <w:lvlText w:val="o"/>
      <w:lvlJc w:val="left"/>
      <w:pPr>
        <w:ind w:left="2880" w:hanging="360"/>
      </w:pPr>
      <w:rPr>
        <w:rFonts w:hint="default" w:ascii="Courier New" w:hAnsi="Courier New" w:cs="Courier New"/>
      </w:rPr>
    </w:lvl>
    <w:lvl w:ilvl="5" w:tplc="0C090005" w:tentative="1">
      <w:start w:val="1"/>
      <w:numFmt w:val="bullet"/>
      <w:lvlText w:val=""/>
      <w:lvlJc w:val="left"/>
      <w:pPr>
        <w:ind w:left="3600" w:hanging="360"/>
      </w:pPr>
      <w:rPr>
        <w:rFonts w:hint="default" w:ascii="Wingdings" w:hAnsi="Wingdings"/>
      </w:rPr>
    </w:lvl>
    <w:lvl w:ilvl="6" w:tplc="0C090001" w:tentative="1">
      <w:start w:val="1"/>
      <w:numFmt w:val="bullet"/>
      <w:lvlText w:val=""/>
      <w:lvlJc w:val="left"/>
      <w:pPr>
        <w:ind w:left="4320" w:hanging="360"/>
      </w:pPr>
      <w:rPr>
        <w:rFonts w:hint="default" w:ascii="Symbol" w:hAnsi="Symbol"/>
      </w:rPr>
    </w:lvl>
    <w:lvl w:ilvl="7" w:tplc="0C090003" w:tentative="1">
      <w:start w:val="1"/>
      <w:numFmt w:val="bullet"/>
      <w:lvlText w:val="o"/>
      <w:lvlJc w:val="left"/>
      <w:pPr>
        <w:ind w:left="5040" w:hanging="360"/>
      </w:pPr>
      <w:rPr>
        <w:rFonts w:hint="default" w:ascii="Courier New" w:hAnsi="Courier New" w:cs="Courier New"/>
      </w:rPr>
    </w:lvl>
    <w:lvl w:ilvl="8" w:tplc="0C090005" w:tentative="1">
      <w:start w:val="1"/>
      <w:numFmt w:val="bullet"/>
      <w:lvlText w:val=""/>
      <w:lvlJc w:val="left"/>
      <w:pPr>
        <w:ind w:left="5760" w:hanging="360"/>
      </w:pPr>
      <w:rPr>
        <w:rFonts w:hint="default" w:ascii="Wingdings" w:hAnsi="Wingdings"/>
      </w:rPr>
    </w:lvl>
  </w:abstractNum>
  <w:abstractNum w:abstractNumId="18" w15:restartNumberingAfterBreak="0">
    <w:nsid w:val="3A2E37E0"/>
    <w:multiLevelType w:val="hybridMultilevel"/>
    <w:tmpl w:val="9642CFCC"/>
    <w:lvl w:ilvl="0" w:tplc="EFFC5716">
      <w:start w:val="1"/>
      <w:numFmt w:val="bullet"/>
      <w:lvlText w:val=""/>
      <w:lvlJc w:val="left"/>
      <w:pPr>
        <w:ind w:left="3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3AA920A7"/>
    <w:multiLevelType w:val="hybridMultilevel"/>
    <w:tmpl w:val="CF323050"/>
    <w:lvl w:ilvl="0" w:tplc="EFFC5716">
      <w:start w:val="1"/>
      <w:numFmt w:val="bullet"/>
      <w:lvlText w:val=""/>
      <w:lvlJc w:val="left"/>
      <w:pPr>
        <w:ind w:left="3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3D6B4FCB"/>
    <w:multiLevelType w:val="hybridMultilevel"/>
    <w:tmpl w:val="CBEE0F36"/>
    <w:lvl w:ilvl="0" w:tplc="F87EA58E">
      <w:start w:val="1"/>
      <w:numFmt w:val="bullet"/>
      <w:lvlText w:val=""/>
      <w:lvlJc w:val="left"/>
      <w:pPr>
        <w:ind w:left="720" w:hanging="360"/>
      </w:pPr>
      <w:rPr>
        <w:rFonts w:hint="default" w:ascii="Symbol" w:hAnsi="Symbol"/>
      </w:rPr>
    </w:lvl>
    <w:lvl w:ilvl="1" w:tplc="E8466202">
      <w:start w:val="1"/>
      <w:numFmt w:val="bullet"/>
      <w:lvlText w:val="o"/>
      <w:lvlJc w:val="left"/>
      <w:pPr>
        <w:ind w:left="1440" w:hanging="360"/>
      </w:pPr>
      <w:rPr>
        <w:rFonts w:hint="default" w:ascii="Courier New" w:hAnsi="Courier New"/>
      </w:rPr>
    </w:lvl>
    <w:lvl w:ilvl="2" w:tplc="4E1C1E1C">
      <w:start w:val="1"/>
      <w:numFmt w:val="bullet"/>
      <w:lvlText w:val=""/>
      <w:lvlJc w:val="left"/>
      <w:pPr>
        <w:ind w:left="2160" w:hanging="360"/>
      </w:pPr>
      <w:rPr>
        <w:rFonts w:hint="default" w:ascii="Wingdings" w:hAnsi="Wingdings"/>
      </w:rPr>
    </w:lvl>
    <w:lvl w:ilvl="3" w:tplc="6B4E292E">
      <w:start w:val="1"/>
      <w:numFmt w:val="bullet"/>
      <w:lvlText w:val=""/>
      <w:lvlJc w:val="left"/>
      <w:pPr>
        <w:ind w:left="2880" w:hanging="360"/>
      </w:pPr>
      <w:rPr>
        <w:rFonts w:hint="default" w:ascii="Symbol" w:hAnsi="Symbol"/>
      </w:rPr>
    </w:lvl>
    <w:lvl w:ilvl="4" w:tplc="3EC2E4CA">
      <w:start w:val="1"/>
      <w:numFmt w:val="bullet"/>
      <w:lvlText w:val="o"/>
      <w:lvlJc w:val="left"/>
      <w:pPr>
        <w:ind w:left="3600" w:hanging="360"/>
      </w:pPr>
      <w:rPr>
        <w:rFonts w:hint="default" w:ascii="Courier New" w:hAnsi="Courier New"/>
      </w:rPr>
    </w:lvl>
    <w:lvl w:ilvl="5" w:tplc="D72E9060">
      <w:start w:val="1"/>
      <w:numFmt w:val="bullet"/>
      <w:lvlText w:val=""/>
      <w:lvlJc w:val="left"/>
      <w:pPr>
        <w:ind w:left="4320" w:hanging="360"/>
      </w:pPr>
      <w:rPr>
        <w:rFonts w:hint="default" w:ascii="Wingdings" w:hAnsi="Wingdings"/>
      </w:rPr>
    </w:lvl>
    <w:lvl w:ilvl="6" w:tplc="5D108C58">
      <w:start w:val="1"/>
      <w:numFmt w:val="bullet"/>
      <w:lvlText w:val=""/>
      <w:lvlJc w:val="left"/>
      <w:pPr>
        <w:ind w:left="5040" w:hanging="360"/>
      </w:pPr>
      <w:rPr>
        <w:rFonts w:hint="default" w:ascii="Symbol" w:hAnsi="Symbol"/>
      </w:rPr>
    </w:lvl>
    <w:lvl w:ilvl="7" w:tplc="87FC69A8">
      <w:start w:val="1"/>
      <w:numFmt w:val="bullet"/>
      <w:lvlText w:val="o"/>
      <w:lvlJc w:val="left"/>
      <w:pPr>
        <w:ind w:left="5760" w:hanging="360"/>
      </w:pPr>
      <w:rPr>
        <w:rFonts w:hint="default" w:ascii="Courier New" w:hAnsi="Courier New"/>
      </w:rPr>
    </w:lvl>
    <w:lvl w:ilvl="8" w:tplc="CDD2AFB0">
      <w:start w:val="1"/>
      <w:numFmt w:val="bullet"/>
      <w:lvlText w:val=""/>
      <w:lvlJc w:val="left"/>
      <w:pPr>
        <w:ind w:left="6480" w:hanging="360"/>
      </w:pPr>
      <w:rPr>
        <w:rFonts w:hint="default" w:ascii="Wingdings" w:hAnsi="Wingdings"/>
      </w:rPr>
    </w:lvl>
  </w:abstractNum>
  <w:abstractNum w:abstractNumId="21" w15:restartNumberingAfterBreak="0">
    <w:nsid w:val="3FD80F98"/>
    <w:multiLevelType w:val="hybridMultilevel"/>
    <w:tmpl w:val="D0700198"/>
    <w:lvl w:ilvl="0" w:tplc="2B2472B2">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8E7DF5"/>
    <w:multiLevelType w:val="hybridMultilevel"/>
    <w:tmpl w:val="DC9CDE36"/>
    <w:lvl w:ilvl="0" w:tplc="FDE02108">
      <w:start w:val="1"/>
      <w:numFmt w:val="bullet"/>
      <w:lvlText w:val=""/>
      <w:lvlJc w:val="left"/>
      <w:pPr>
        <w:ind w:left="360" w:hanging="360"/>
      </w:pPr>
      <w:rPr>
        <w:rFonts w:hint="default" w:ascii="Symbol" w:hAnsi="Symbol"/>
        <w:color w:val="0000BD"/>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450AEFD8"/>
    <w:multiLevelType w:val="hybridMultilevel"/>
    <w:tmpl w:val="60D65F7A"/>
    <w:lvl w:ilvl="0" w:tplc="63BE0336">
      <w:start w:val="1"/>
      <w:numFmt w:val="bullet"/>
      <w:lvlText w:val=""/>
      <w:lvlJc w:val="left"/>
      <w:pPr>
        <w:ind w:left="720" w:hanging="360"/>
      </w:pPr>
      <w:rPr>
        <w:rFonts w:hint="default" w:ascii="Symbol" w:hAnsi="Symbol"/>
      </w:rPr>
    </w:lvl>
    <w:lvl w:ilvl="1" w:tplc="941C6104">
      <w:start w:val="1"/>
      <w:numFmt w:val="bullet"/>
      <w:lvlText w:val="o"/>
      <w:lvlJc w:val="left"/>
      <w:pPr>
        <w:ind w:left="1440" w:hanging="360"/>
      </w:pPr>
      <w:rPr>
        <w:rFonts w:hint="default" w:ascii="Courier New" w:hAnsi="Courier New"/>
      </w:rPr>
    </w:lvl>
    <w:lvl w:ilvl="2" w:tplc="5C3E29AA">
      <w:start w:val="1"/>
      <w:numFmt w:val="bullet"/>
      <w:lvlText w:val=""/>
      <w:lvlJc w:val="left"/>
      <w:pPr>
        <w:ind w:left="2160" w:hanging="360"/>
      </w:pPr>
      <w:rPr>
        <w:rFonts w:hint="default" w:ascii="Wingdings" w:hAnsi="Wingdings"/>
      </w:rPr>
    </w:lvl>
    <w:lvl w:ilvl="3" w:tplc="A52888F6">
      <w:start w:val="1"/>
      <w:numFmt w:val="bullet"/>
      <w:lvlText w:val=""/>
      <w:lvlJc w:val="left"/>
      <w:pPr>
        <w:ind w:left="2880" w:hanging="360"/>
      </w:pPr>
      <w:rPr>
        <w:rFonts w:hint="default" w:ascii="Symbol" w:hAnsi="Symbol"/>
      </w:rPr>
    </w:lvl>
    <w:lvl w:ilvl="4" w:tplc="BAEC696A">
      <w:start w:val="1"/>
      <w:numFmt w:val="bullet"/>
      <w:lvlText w:val="o"/>
      <w:lvlJc w:val="left"/>
      <w:pPr>
        <w:ind w:left="3600" w:hanging="360"/>
      </w:pPr>
      <w:rPr>
        <w:rFonts w:hint="default" w:ascii="Courier New" w:hAnsi="Courier New"/>
      </w:rPr>
    </w:lvl>
    <w:lvl w:ilvl="5" w:tplc="986873F2">
      <w:start w:val="1"/>
      <w:numFmt w:val="bullet"/>
      <w:lvlText w:val=""/>
      <w:lvlJc w:val="left"/>
      <w:pPr>
        <w:ind w:left="4320" w:hanging="360"/>
      </w:pPr>
      <w:rPr>
        <w:rFonts w:hint="default" w:ascii="Wingdings" w:hAnsi="Wingdings"/>
      </w:rPr>
    </w:lvl>
    <w:lvl w:ilvl="6" w:tplc="89D896C4">
      <w:start w:val="1"/>
      <w:numFmt w:val="bullet"/>
      <w:lvlText w:val=""/>
      <w:lvlJc w:val="left"/>
      <w:pPr>
        <w:ind w:left="5040" w:hanging="360"/>
      </w:pPr>
      <w:rPr>
        <w:rFonts w:hint="default" w:ascii="Symbol" w:hAnsi="Symbol"/>
      </w:rPr>
    </w:lvl>
    <w:lvl w:ilvl="7" w:tplc="43DA88CC">
      <w:start w:val="1"/>
      <w:numFmt w:val="bullet"/>
      <w:lvlText w:val="o"/>
      <w:lvlJc w:val="left"/>
      <w:pPr>
        <w:ind w:left="5760" w:hanging="360"/>
      </w:pPr>
      <w:rPr>
        <w:rFonts w:hint="default" w:ascii="Courier New" w:hAnsi="Courier New"/>
      </w:rPr>
    </w:lvl>
    <w:lvl w:ilvl="8" w:tplc="972A8D8A">
      <w:start w:val="1"/>
      <w:numFmt w:val="bullet"/>
      <w:lvlText w:val=""/>
      <w:lvlJc w:val="left"/>
      <w:pPr>
        <w:ind w:left="6480" w:hanging="360"/>
      </w:pPr>
      <w:rPr>
        <w:rFonts w:hint="default" w:ascii="Wingdings" w:hAnsi="Wingdings"/>
      </w:rPr>
    </w:lvl>
  </w:abstractNum>
  <w:abstractNum w:abstractNumId="24" w15:restartNumberingAfterBreak="0">
    <w:nsid w:val="4AD04A07"/>
    <w:multiLevelType w:val="hybridMultilevel"/>
    <w:tmpl w:val="EC96BBF6"/>
    <w:lvl w:ilvl="0" w:tplc="4D985908">
      <w:start w:val="1"/>
      <w:numFmt w:val="bullet"/>
      <w:pStyle w:val="ListParagraph"/>
      <w:lvlText w:val="•"/>
      <w:lvlJc w:val="left"/>
      <w:pPr>
        <w:ind w:left="720" w:hanging="360"/>
      </w:pPr>
      <w:rPr>
        <w:rFonts w:hint="default" w:ascii="Arial" w:hAnsi="Arial"/>
        <w:color w:val="77216D"/>
      </w:rPr>
    </w:lvl>
    <w:lvl w:ilvl="1" w:tplc="9B4C540E">
      <w:start w:val="1"/>
      <w:numFmt w:val="bullet"/>
      <w:pStyle w:val="ListParagraph"/>
      <w:lvlText w:val="›"/>
      <w:lvlJc w:val="left"/>
      <w:pPr>
        <w:ind w:left="1440" w:hanging="360"/>
      </w:pPr>
      <w:rPr>
        <w:rFonts w:hint="default" w:ascii="Courier New" w:hAnsi="Courier New"/>
        <w:color w:val="77216D"/>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C9C4B54"/>
    <w:multiLevelType w:val="hybridMultilevel"/>
    <w:tmpl w:val="219CE36A"/>
    <w:lvl w:ilvl="0" w:tplc="79703358">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1B425A6"/>
    <w:multiLevelType w:val="hybridMultilevel"/>
    <w:tmpl w:val="5608063C"/>
    <w:lvl w:ilvl="0" w:tplc="97589CB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514060"/>
    <w:multiLevelType w:val="hybridMultilevel"/>
    <w:tmpl w:val="34DC4660"/>
    <w:lvl w:ilvl="0" w:tplc="EFFC5716">
      <w:start w:val="1"/>
      <w:numFmt w:val="bullet"/>
      <w:lvlText w:val=""/>
      <w:lvlJc w:val="left"/>
      <w:pPr>
        <w:ind w:left="3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52D27D3A"/>
    <w:multiLevelType w:val="hybridMultilevel"/>
    <w:tmpl w:val="7D4AFCCC"/>
    <w:lvl w:ilvl="0" w:tplc="EFFC5716">
      <w:start w:val="1"/>
      <w:numFmt w:val="bullet"/>
      <w:lvlText w:val=""/>
      <w:lvlJc w:val="left"/>
      <w:pPr>
        <w:ind w:left="360" w:hanging="360"/>
      </w:pPr>
      <w:rPr>
        <w:rFonts w:hint="default" w:ascii="Symbol" w:hAnsi="Symbol"/>
      </w:rPr>
    </w:lvl>
    <w:lvl w:ilvl="1" w:tplc="0C090003" w:tentative="1">
      <w:start w:val="1"/>
      <w:numFmt w:val="bullet"/>
      <w:lvlText w:val="o"/>
      <w:lvlJc w:val="left"/>
      <w:pPr>
        <w:ind w:left="720" w:hanging="360"/>
      </w:pPr>
      <w:rPr>
        <w:rFonts w:hint="default" w:ascii="Courier New" w:hAnsi="Courier New" w:cs="Courier New"/>
      </w:rPr>
    </w:lvl>
    <w:lvl w:ilvl="2" w:tplc="0C090005" w:tentative="1">
      <w:start w:val="1"/>
      <w:numFmt w:val="bullet"/>
      <w:lvlText w:val=""/>
      <w:lvlJc w:val="left"/>
      <w:pPr>
        <w:ind w:left="1440" w:hanging="360"/>
      </w:pPr>
      <w:rPr>
        <w:rFonts w:hint="default" w:ascii="Wingdings" w:hAnsi="Wingdings"/>
      </w:rPr>
    </w:lvl>
    <w:lvl w:ilvl="3" w:tplc="0C090001" w:tentative="1">
      <w:start w:val="1"/>
      <w:numFmt w:val="bullet"/>
      <w:lvlText w:val=""/>
      <w:lvlJc w:val="left"/>
      <w:pPr>
        <w:ind w:left="2160" w:hanging="360"/>
      </w:pPr>
      <w:rPr>
        <w:rFonts w:hint="default" w:ascii="Symbol" w:hAnsi="Symbol"/>
      </w:rPr>
    </w:lvl>
    <w:lvl w:ilvl="4" w:tplc="0C090003" w:tentative="1">
      <w:start w:val="1"/>
      <w:numFmt w:val="bullet"/>
      <w:lvlText w:val="o"/>
      <w:lvlJc w:val="left"/>
      <w:pPr>
        <w:ind w:left="2880" w:hanging="360"/>
      </w:pPr>
      <w:rPr>
        <w:rFonts w:hint="default" w:ascii="Courier New" w:hAnsi="Courier New" w:cs="Courier New"/>
      </w:rPr>
    </w:lvl>
    <w:lvl w:ilvl="5" w:tplc="0C090005" w:tentative="1">
      <w:start w:val="1"/>
      <w:numFmt w:val="bullet"/>
      <w:lvlText w:val=""/>
      <w:lvlJc w:val="left"/>
      <w:pPr>
        <w:ind w:left="3600" w:hanging="360"/>
      </w:pPr>
      <w:rPr>
        <w:rFonts w:hint="default" w:ascii="Wingdings" w:hAnsi="Wingdings"/>
      </w:rPr>
    </w:lvl>
    <w:lvl w:ilvl="6" w:tplc="0C090001" w:tentative="1">
      <w:start w:val="1"/>
      <w:numFmt w:val="bullet"/>
      <w:lvlText w:val=""/>
      <w:lvlJc w:val="left"/>
      <w:pPr>
        <w:ind w:left="4320" w:hanging="360"/>
      </w:pPr>
      <w:rPr>
        <w:rFonts w:hint="default" w:ascii="Symbol" w:hAnsi="Symbol"/>
      </w:rPr>
    </w:lvl>
    <w:lvl w:ilvl="7" w:tplc="0C090003" w:tentative="1">
      <w:start w:val="1"/>
      <w:numFmt w:val="bullet"/>
      <w:lvlText w:val="o"/>
      <w:lvlJc w:val="left"/>
      <w:pPr>
        <w:ind w:left="5040" w:hanging="360"/>
      </w:pPr>
      <w:rPr>
        <w:rFonts w:hint="default" w:ascii="Courier New" w:hAnsi="Courier New" w:cs="Courier New"/>
      </w:rPr>
    </w:lvl>
    <w:lvl w:ilvl="8" w:tplc="0C090005" w:tentative="1">
      <w:start w:val="1"/>
      <w:numFmt w:val="bullet"/>
      <w:lvlText w:val=""/>
      <w:lvlJc w:val="left"/>
      <w:pPr>
        <w:ind w:left="5760" w:hanging="360"/>
      </w:pPr>
      <w:rPr>
        <w:rFonts w:hint="default" w:ascii="Wingdings" w:hAnsi="Wingdings"/>
      </w:rPr>
    </w:lvl>
  </w:abstractNum>
  <w:abstractNum w:abstractNumId="29" w15:restartNumberingAfterBreak="0">
    <w:nsid w:val="5AD26341"/>
    <w:multiLevelType w:val="hybridMultilevel"/>
    <w:tmpl w:val="A9FCCB46"/>
    <w:lvl w:ilvl="0" w:tplc="7108992A">
      <w:start w:val="1"/>
      <w:numFmt w:val="decimal"/>
      <w:pStyle w:val="ListNumber"/>
      <w:lvlText w:val="%1."/>
      <w:lvlJc w:val="left"/>
      <w:pPr>
        <w:ind w:left="717" w:hanging="360"/>
      </w:pPr>
      <w:rPr>
        <w:color w:val="78226D" w:themeColor="accent4"/>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30" w15:restartNumberingAfterBreak="0">
    <w:nsid w:val="5DF95DE5"/>
    <w:multiLevelType w:val="hybridMultilevel"/>
    <w:tmpl w:val="BBD0B93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66E661BF"/>
    <w:multiLevelType w:val="hybridMultilevel"/>
    <w:tmpl w:val="2A7AF60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2" w15:restartNumberingAfterBreak="0">
    <w:nsid w:val="67711E89"/>
    <w:multiLevelType w:val="hybridMultilevel"/>
    <w:tmpl w:val="2FECF75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67F9142D"/>
    <w:multiLevelType w:val="hybridMultilevel"/>
    <w:tmpl w:val="8E105E2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6DA07425"/>
    <w:multiLevelType w:val="hybridMultilevel"/>
    <w:tmpl w:val="F022058E"/>
    <w:lvl w:ilvl="0" w:tplc="4850B8CC">
      <w:start w:val="1"/>
      <w:numFmt w:val="decimal"/>
      <w:lvlText w:val="%1."/>
      <w:lvlJc w:val="left"/>
      <w:pPr>
        <w:ind w:left="360" w:hanging="360"/>
      </w:pPr>
      <w:rPr>
        <w:rFonts w:hint="default" w:eastAsia="Calibr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3107305"/>
    <w:multiLevelType w:val="multilevel"/>
    <w:tmpl w:val="795AEC02"/>
    <w:styleLink w:val="BulletsList"/>
    <w:lvl w:ilvl="0">
      <w:start w:val="1"/>
      <w:numFmt w:val="bullet"/>
      <w:pStyle w:val="Bullet1"/>
      <w:lvlText w:val=""/>
      <w:lvlJc w:val="left"/>
      <w:pPr>
        <w:ind w:left="284" w:hanging="284"/>
      </w:pPr>
      <w:rPr>
        <w:rFonts w:hint="default" w:ascii="Symbol" w:hAnsi="Symbol"/>
      </w:rPr>
    </w:lvl>
    <w:lvl w:ilvl="1">
      <w:start w:val="1"/>
      <w:numFmt w:val="bullet"/>
      <w:pStyle w:val="Bullet2"/>
      <w:lvlText w:val="–"/>
      <w:lvlJc w:val="left"/>
      <w:pPr>
        <w:ind w:left="568" w:hanging="284"/>
      </w:pPr>
      <w:rPr>
        <w:rFonts w:hint="default" w:ascii="Arial" w:hAnsi="Arial"/>
      </w:rPr>
    </w:lvl>
    <w:lvl w:ilvl="2">
      <w:start w:val="1"/>
      <w:numFmt w:val="bullet"/>
      <w:pStyle w:val="Bullet3"/>
      <w:lvlText w:val="»"/>
      <w:lvlJc w:val="left"/>
      <w:pPr>
        <w:ind w:left="852" w:hanging="284"/>
      </w:pPr>
      <w:rPr>
        <w:rFonts w:hint="default" w:ascii="Arial" w:hAnsi="Arial"/>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6" w15:restartNumberingAfterBreak="0">
    <w:nsid w:val="73D802F0"/>
    <w:multiLevelType w:val="hybridMultilevel"/>
    <w:tmpl w:val="B2E6B17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7" w15:restartNumberingAfterBreak="0">
    <w:nsid w:val="756451A7"/>
    <w:multiLevelType w:val="hybridMultilevel"/>
    <w:tmpl w:val="77EAEE34"/>
    <w:lvl w:ilvl="0" w:tplc="EFFC5716">
      <w:start w:val="1"/>
      <w:numFmt w:val="bullet"/>
      <w:lvlText w:val=""/>
      <w:lvlJc w:val="left"/>
      <w:pPr>
        <w:ind w:left="3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8" w15:restartNumberingAfterBreak="0">
    <w:nsid w:val="759A63AA"/>
    <w:multiLevelType w:val="multilevel"/>
    <w:tmpl w:val="BFE09930"/>
    <w:lvl w:ilvl="0">
      <w:start w:val="1"/>
      <w:numFmt w:val="bullet"/>
      <w:lvlText w:val=""/>
      <w:lvlJc w:val="left"/>
      <w:pPr>
        <w:ind w:left="284" w:hanging="284"/>
      </w:pPr>
      <w:rPr>
        <w:rFonts w:hint="default" w:ascii="Symbol" w:hAnsi="Symbol"/>
        <w:color w:val="0000BD"/>
      </w:rPr>
    </w:lvl>
    <w:lvl w:ilvl="1">
      <w:start w:val="1"/>
      <w:numFmt w:val="bullet"/>
      <w:lvlText w:val="–"/>
      <w:lvlJc w:val="left"/>
      <w:pPr>
        <w:ind w:left="568" w:hanging="284"/>
      </w:pPr>
      <w:rPr>
        <w:rFonts w:hint="default" w:ascii="Arial" w:hAnsi="Arial"/>
      </w:rPr>
    </w:lvl>
    <w:lvl w:ilvl="2">
      <w:start w:val="1"/>
      <w:numFmt w:val="bullet"/>
      <w:lvlText w:val="»"/>
      <w:lvlJc w:val="left"/>
      <w:pPr>
        <w:ind w:left="852" w:hanging="284"/>
      </w:pPr>
      <w:rPr>
        <w:rFonts w:hint="default" w:ascii="Arial" w:hAnsi="Arial"/>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9" w15:restartNumberingAfterBreak="0">
    <w:nsid w:val="774D0DC0"/>
    <w:multiLevelType w:val="hybridMultilevel"/>
    <w:tmpl w:val="79424280"/>
    <w:lvl w:ilvl="0" w:tplc="EFFC5716">
      <w:start w:val="1"/>
      <w:numFmt w:val="bullet"/>
      <w:lvlText w:val=""/>
      <w:lvlJc w:val="left"/>
      <w:pPr>
        <w:ind w:left="3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0" w15:restartNumberingAfterBreak="0">
    <w:nsid w:val="7945C910"/>
    <w:multiLevelType w:val="hybridMultilevel"/>
    <w:tmpl w:val="C4A6AF00"/>
    <w:lvl w:ilvl="0" w:tplc="109EBA46">
      <w:start w:val="1"/>
      <w:numFmt w:val="bullet"/>
      <w:lvlText w:val=""/>
      <w:lvlJc w:val="left"/>
      <w:pPr>
        <w:ind w:left="720" w:hanging="360"/>
      </w:pPr>
      <w:rPr>
        <w:rFonts w:hint="default" w:ascii="Symbol" w:hAnsi="Symbol"/>
      </w:rPr>
    </w:lvl>
    <w:lvl w:ilvl="1" w:tplc="AB1E51C8">
      <w:start w:val="1"/>
      <w:numFmt w:val="bullet"/>
      <w:lvlText w:val="o"/>
      <w:lvlJc w:val="left"/>
      <w:pPr>
        <w:ind w:left="1440" w:hanging="360"/>
      </w:pPr>
      <w:rPr>
        <w:rFonts w:hint="default" w:ascii="Courier New" w:hAnsi="Courier New"/>
      </w:rPr>
    </w:lvl>
    <w:lvl w:ilvl="2" w:tplc="EBA018AA">
      <w:start w:val="1"/>
      <w:numFmt w:val="bullet"/>
      <w:lvlText w:val=""/>
      <w:lvlJc w:val="left"/>
      <w:pPr>
        <w:ind w:left="2160" w:hanging="360"/>
      </w:pPr>
      <w:rPr>
        <w:rFonts w:hint="default" w:ascii="Wingdings" w:hAnsi="Wingdings"/>
      </w:rPr>
    </w:lvl>
    <w:lvl w:ilvl="3" w:tplc="A4EC63AA">
      <w:start w:val="1"/>
      <w:numFmt w:val="bullet"/>
      <w:lvlText w:val=""/>
      <w:lvlJc w:val="left"/>
      <w:pPr>
        <w:ind w:left="2880" w:hanging="360"/>
      </w:pPr>
      <w:rPr>
        <w:rFonts w:hint="default" w:ascii="Symbol" w:hAnsi="Symbol"/>
      </w:rPr>
    </w:lvl>
    <w:lvl w:ilvl="4" w:tplc="D7C40D8E">
      <w:start w:val="1"/>
      <w:numFmt w:val="bullet"/>
      <w:lvlText w:val="o"/>
      <w:lvlJc w:val="left"/>
      <w:pPr>
        <w:ind w:left="3600" w:hanging="360"/>
      </w:pPr>
      <w:rPr>
        <w:rFonts w:hint="default" w:ascii="Courier New" w:hAnsi="Courier New"/>
      </w:rPr>
    </w:lvl>
    <w:lvl w:ilvl="5" w:tplc="4C828834">
      <w:start w:val="1"/>
      <w:numFmt w:val="bullet"/>
      <w:lvlText w:val=""/>
      <w:lvlJc w:val="left"/>
      <w:pPr>
        <w:ind w:left="4320" w:hanging="360"/>
      </w:pPr>
      <w:rPr>
        <w:rFonts w:hint="default" w:ascii="Wingdings" w:hAnsi="Wingdings"/>
      </w:rPr>
    </w:lvl>
    <w:lvl w:ilvl="6" w:tplc="95C0738E">
      <w:start w:val="1"/>
      <w:numFmt w:val="bullet"/>
      <w:lvlText w:val=""/>
      <w:lvlJc w:val="left"/>
      <w:pPr>
        <w:ind w:left="5040" w:hanging="360"/>
      </w:pPr>
      <w:rPr>
        <w:rFonts w:hint="default" w:ascii="Symbol" w:hAnsi="Symbol"/>
      </w:rPr>
    </w:lvl>
    <w:lvl w:ilvl="7" w:tplc="9F9C9AB4">
      <w:start w:val="1"/>
      <w:numFmt w:val="bullet"/>
      <w:lvlText w:val="o"/>
      <w:lvlJc w:val="left"/>
      <w:pPr>
        <w:ind w:left="5760" w:hanging="360"/>
      </w:pPr>
      <w:rPr>
        <w:rFonts w:hint="default" w:ascii="Courier New" w:hAnsi="Courier New"/>
      </w:rPr>
    </w:lvl>
    <w:lvl w:ilvl="8" w:tplc="95FED078">
      <w:start w:val="1"/>
      <w:numFmt w:val="bullet"/>
      <w:lvlText w:val=""/>
      <w:lvlJc w:val="left"/>
      <w:pPr>
        <w:ind w:left="6480" w:hanging="360"/>
      </w:pPr>
      <w:rPr>
        <w:rFonts w:hint="default" w:ascii="Wingdings" w:hAnsi="Wingdings"/>
      </w:rPr>
    </w:lvl>
  </w:abstractNum>
  <w:abstractNum w:abstractNumId="41" w15:restartNumberingAfterBreak="0">
    <w:nsid w:val="7AB95B37"/>
    <w:multiLevelType w:val="hybridMultilevel"/>
    <w:tmpl w:val="409031D6"/>
    <w:lvl w:ilvl="0" w:tplc="EFFC5716">
      <w:start w:val="1"/>
      <w:numFmt w:val="bullet"/>
      <w:lvlText w:val=""/>
      <w:lvlJc w:val="left"/>
      <w:pPr>
        <w:ind w:left="3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2" w15:restartNumberingAfterBreak="0">
    <w:nsid w:val="7B1937BF"/>
    <w:multiLevelType w:val="hybridMultilevel"/>
    <w:tmpl w:val="04EE815E"/>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num w:numId="1" w16cid:durableId="1505781751">
    <w:abstractNumId w:val="23"/>
  </w:num>
  <w:num w:numId="2" w16cid:durableId="1828983517">
    <w:abstractNumId w:val="40"/>
  </w:num>
  <w:num w:numId="3" w16cid:durableId="1566990489">
    <w:abstractNumId w:val="16"/>
  </w:num>
  <w:num w:numId="4" w16cid:durableId="20666437">
    <w:abstractNumId w:val="20"/>
  </w:num>
  <w:num w:numId="5" w16cid:durableId="239565069">
    <w:abstractNumId w:val="24"/>
  </w:num>
  <w:num w:numId="6" w16cid:durableId="1046221243">
    <w:abstractNumId w:val="24"/>
    <w:lvlOverride w:ilvl="0">
      <w:startOverride w:val="1"/>
    </w:lvlOverride>
  </w:num>
  <w:num w:numId="7" w16cid:durableId="849174586">
    <w:abstractNumId w:val="29"/>
  </w:num>
  <w:num w:numId="8" w16cid:durableId="1965650441">
    <w:abstractNumId w:val="0"/>
  </w:num>
  <w:num w:numId="9" w16cid:durableId="739210510">
    <w:abstractNumId w:val="0"/>
  </w:num>
  <w:num w:numId="10" w16cid:durableId="899168780">
    <w:abstractNumId w:val="0"/>
  </w:num>
  <w:num w:numId="11" w16cid:durableId="676813939">
    <w:abstractNumId w:val="0"/>
  </w:num>
  <w:num w:numId="12" w16cid:durableId="60756624">
    <w:abstractNumId w:val="0"/>
  </w:num>
  <w:num w:numId="13" w16cid:durableId="1141119971">
    <w:abstractNumId w:val="29"/>
    <w:lvlOverride w:ilvl="0">
      <w:startOverride w:val="1"/>
    </w:lvlOverride>
  </w:num>
  <w:num w:numId="14" w16cid:durableId="1665476345">
    <w:abstractNumId w:val="32"/>
  </w:num>
  <w:num w:numId="15" w16cid:durableId="499202043">
    <w:abstractNumId w:val="29"/>
    <w:lvlOverride w:ilvl="0">
      <w:startOverride w:val="1"/>
    </w:lvlOverride>
  </w:num>
  <w:num w:numId="16" w16cid:durableId="1777673357">
    <w:abstractNumId w:val="30"/>
  </w:num>
  <w:num w:numId="17" w16cid:durableId="370307217">
    <w:abstractNumId w:val="29"/>
    <w:lvlOverride w:ilvl="0">
      <w:startOverride w:val="1"/>
    </w:lvlOverride>
  </w:num>
  <w:num w:numId="18" w16cid:durableId="965621989">
    <w:abstractNumId w:val="2"/>
  </w:num>
  <w:num w:numId="19" w16cid:durableId="1753889426">
    <w:abstractNumId w:val="29"/>
    <w:lvlOverride w:ilvl="0">
      <w:startOverride w:val="1"/>
    </w:lvlOverride>
  </w:num>
  <w:num w:numId="20" w16cid:durableId="1655601826">
    <w:abstractNumId w:val="29"/>
    <w:lvlOverride w:ilvl="0">
      <w:startOverride w:val="1"/>
    </w:lvlOverride>
  </w:num>
  <w:num w:numId="21" w16cid:durableId="901477162">
    <w:abstractNumId w:val="29"/>
    <w:lvlOverride w:ilvl="0">
      <w:startOverride w:val="1"/>
    </w:lvlOverride>
  </w:num>
  <w:num w:numId="22" w16cid:durableId="1189294285">
    <w:abstractNumId w:val="29"/>
    <w:lvlOverride w:ilvl="0">
      <w:startOverride w:val="1"/>
    </w:lvlOverride>
  </w:num>
  <w:num w:numId="23" w16cid:durableId="89158804">
    <w:abstractNumId w:val="15"/>
  </w:num>
  <w:num w:numId="24" w16cid:durableId="1191069132">
    <w:abstractNumId w:val="31"/>
  </w:num>
  <w:num w:numId="25" w16cid:durableId="500659746">
    <w:abstractNumId w:val="1"/>
  </w:num>
  <w:num w:numId="26" w16cid:durableId="560021836">
    <w:abstractNumId w:val="29"/>
    <w:lvlOverride w:ilvl="0">
      <w:startOverride w:val="1"/>
    </w:lvlOverride>
  </w:num>
  <w:num w:numId="27" w16cid:durableId="82267383">
    <w:abstractNumId w:val="29"/>
    <w:lvlOverride w:ilvl="0">
      <w:startOverride w:val="1"/>
    </w:lvlOverride>
  </w:num>
  <w:num w:numId="28" w16cid:durableId="417824711">
    <w:abstractNumId w:val="29"/>
    <w:lvlOverride w:ilvl="0">
      <w:startOverride w:val="1"/>
    </w:lvlOverride>
  </w:num>
  <w:num w:numId="29" w16cid:durableId="1163086956">
    <w:abstractNumId w:val="35"/>
    <w:lvlOverride w:ilvl="0">
      <w:lvl w:ilvl="0">
        <w:start w:val="1"/>
        <w:numFmt w:val="bullet"/>
        <w:pStyle w:val="Bullet1"/>
        <w:lvlText w:val=""/>
        <w:lvlJc w:val="left"/>
        <w:pPr>
          <w:ind w:left="284" w:hanging="284"/>
        </w:pPr>
        <w:rPr>
          <w:rFonts w:hint="default" w:ascii="Symbol" w:hAnsi="Symbol"/>
          <w:color w:val="auto"/>
        </w:rPr>
      </w:lvl>
    </w:lvlOverride>
  </w:num>
  <w:num w:numId="30" w16cid:durableId="2135907940">
    <w:abstractNumId w:val="33"/>
  </w:num>
  <w:num w:numId="31" w16cid:durableId="1421174054">
    <w:abstractNumId w:val="35"/>
  </w:num>
  <w:num w:numId="32" w16cid:durableId="1358123711">
    <w:abstractNumId w:val="22"/>
  </w:num>
  <w:num w:numId="33" w16cid:durableId="929511120">
    <w:abstractNumId w:val="38"/>
  </w:num>
  <w:num w:numId="34" w16cid:durableId="1251698335">
    <w:abstractNumId w:val="11"/>
  </w:num>
  <w:num w:numId="35" w16cid:durableId="344719962">
    <w:abstractNumId w:val="3"/>
  </w:num>
  <w:num w:numId="36" w16cid:durableId="218825564">
    <w:abstractNumId w:val="9"/>
  </w:num>
  <w:num w:numId="37" w16cid:durableId="2145271493">
    <w:abstractNumId w:val="26"/>
  </w:num>
  <w:num w:numId="38" w16cid:durableId="1195266932">
    <w:abstractNumId w:val="21"/>
  </w:num>
  <w:num w:numId="39" w16cid:durableId="1271281117">
    <w:abstractNumId w:val="7"/>
  </w:num>
  <w:num w:numId="40" w16cid:durableId="578514639">
    <w:abstractNumId w:val="25"/>
  </w:num>
  <w:num w:numId="41" w16cid:durableId="1522277591">
    <w:abstractNumId w:val="13"/>
  </w:num>
  <w:num w:numId="42" w16cid:durableId="539977728">
    <w:abstractNumId w:val="12"/>
  </w:num>
  <w:num w:numId="43" w16cid:durableId="1712920993">
    <w:abstractNumId w:val="42"/>
  </w:num>
  <w:num w:numId="44" w16cid:durableId="724373173">
    <w:abstractNumId w:val="4"/>
  </w:num>
  <w:num w:numId="45" w16cid:durableId="1943953346">
    <w:abstractNumId w:val="28"/>
  </w:num>
  <w:num w:numId="46" w16cid:durableId="696931951">
    <w:abstractNumId w:val="17"/>
  </w:num>
  <w:num w:numId="47" w16cid:durableId="854659112">
    <w:abstractNumId w:val="8"/>
  </w:num>
  <w:num w:numId="48" w16cid:durableId="127481034">
    <w:abstractNumId w:val="36"/>
  </w:num>
  <w:num w:numId="49" w16cid:durableId="787624635">
    <w:abstractNumId w:val="41"/>
  </w:num>
  <w:num w:numId="50" w16cid:durableId="1238393882">
    <w:abstractNumId w:val="37"/>
  </w:num>
  <w:num w:numId="51" w16cid:durableId="2102987998">
    <w:abstractNumId w:val="27"/>
  </w:num>
  <w:num w:numId="52" w16cid:durableId="154687238">
    <w:abstractNumId w:val="18"/>
  </w:num>
  <w:num w:numId="53" w16cid:durableId="98255579">
    <w:abstractNumId w:val="10"/>
  </w:num>
  <w:num w:numId="54" w16cid:durableId="1998260883">
    <w:abstractNumId w:val="24"/>
  </w:num>
  <w:num w:numId="55" w16cid:durableId="630332567">
    <w:abstractNumId w:val="39"/>
  </w:num>
  <w:num w:numId="56" w16cid:durableId="347146645">
    <w:abstractNumId w:val="19"/>
  </w:num>
  <w:num w:numId="57" w16cid:durableId="1130704564">
    <w:abstractNumId w:val="29"/>
    <w:lvlOverride w:ilvl="0">
      <w:startOverride w:val="1"/>
    </w:lvlOverride>
  </w:num>
  <w:num w:numId="58" w16cid:durableId="3362897">
    <w:abstractNumId w:val="0"/>
  </w:num>
  <w:num w:numId="59" w16cid:durableId="552237374">
    <w:abstractNumId w:val="24"/>
  </w:num>
  <w:num w:numId="60" w16cid:durableId="1692996209">
    <w:abstractNumId w:val="24"/>
  </w:num>
  <w:num w:numId="61" w16cid:durableId="1570340695">
    <w:abstractNumId w:val="6"/>
  </w:num>
  <w:num w:numId="62" w16cid:durableId="2008094537">
    <w:abstractNumId w:val="29"/>
  </w:num>
  <w:num w:numId="63" w16cid:durableId="1368212326">
    <w:abstractNumId w:val="29"/>
  </w:num>
  <w:num w:numId="64" w16cid:durableId="731730162">
    <w:abstractNumId w:val="14"/>
  </w:num>
  <w:num w:numId="65" w16cid:durableId="1520509017">
    <w:abstractNumId w:val="29"/>
  </w:num>
  <w:num w:numId="66" w16cid:durableId="1815758009">
    <w:abstractNumId w:val="29"/>
    <w:lvlOverride w:ilvl="0">
      <w:startOverride w:val="1"/>
    </w:lvlOverride>
  </w:num>
  <w:num w:numId="67" w16cid:durableId="1320960090">
    <w:abstractNumId w:val="5"/>
  </w:num>
  <w:num w:numId="68" w16cid:durableId="1225988488">
    <w:abstractNumId w:val="34"/>
  </w:num>
  <w:num w:numId="69" w16cid:durableId="863249180">
    <w:abstractNumId w:val="24"/>
  </w:num>
  <w:num w:numId="70" w16cid:durableId="708182686">
    <w:abstractNumId w:val="24"/>
  </w:num>
  <w:num w:numId="71" w16cid:durableId="1702123333">
    <w:abstractNumId w:val="24"/>
  </w:num>
  <w:numIdMacAtCleanup w:val="6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99F"/>
    <w:rsid w:val="00002845"/>
    <w:rsid w:val="000039EF"/>
    <w:rsid w:val="00007144"/>
    <w:rsid w:val="00015417"/>
    <w:rsid w:val="0001673C"/>
    <w:rsid w:val="00017DEC"/>
    <w:rsid w:val="00020F6E"/>
    <w:rsid w:val="00021F23"/>
    <w:rsid w:val="0002320E"/>
    <w:rsid w:val="0002523A"/>
    <w:rsid w:val="00027B2F"/>
    <w:rsid w:val="00033B8F"/>
    <w:rsid w:val="00033E09"/>
    <w:rsid w:val="00035F70"/>
    <w:rsid w:val="00040D9E"/>
    <w:rsid w:val="000415AE"/>
    <w:rsid w:val="0004191A"/>
    <w:rsid w:val="00045AA3"/>
    <w:rsid w:val="00046AD9"/>
    <w:rsid w:val="00047010"/>
    <w:rsid w:val="00050934"/>
    <w:rsid w:val="000530EC"/>
    <w:rsid w:val="000548EA"/>
    <w:rsid w:val="00057EC7"/>
    <w:rsid w:val="00057F09"/>
    <w:rsid w:val="000631F2"/>
    <w:rsid w:val="00063790"/>
    <w:rsid w:val="00063CC8"/>
    <w:rsid w:val="00066F77"/>
    <w:rsid w:val="000705BC"/>
    <w:rsid w:val="00071FC1"/>
    <w:rsid w:val="00072C9C"/>
    <w:rsid w:val="00073348"/>
    <w:rsid w:val="0007583D"/>
    <w:rsid w:val="00076A20"/>
    <w:rsid w:val="00082BEC"/>
    <w:rsid w:val="00082C4D"/>
    <w:rsid w:val="00084BA3"/>
    <w:rsid w:val="000868AF"/>
    <w:rsid w:val="000870F0"/>
    <w:rsid w:val="00090CFF"/>
    <w:rsid w:val="00097539"/>
    <w:rsid w:val="000977C8"/>
    <w:rsid w:val="000A4463"/>
    <w:rsid w:val="000A4A19"/>
    <w:rsid w:val="000A5C23"/>
    <w:rsid w:val="000B1221"/>
    <w:rsid w:val="000B12ED"/>
    <w:rsid w:val="000B13A7"/>
    <w:rsid w:val="000C3EF5"/>
    <w:rsid w:val="000C4E5F"/>
    <w:rsid w:val="000C5897"/>
    <w:rsid w:val="000C6F0D"/>
    <w:rsid w:val="000C705D"/>
    <w:rsid w:val="000D2E8C"/>
    <w:rsid w:val="000D3937"/>
    <w:rsid w:val="000D40E0"/>
    <w:rsid w:val="000D4494"/>
    <w:rsid w:val="000D4E70"/>
    <w:rsid w:val="000D5DA1"/>
    <w:rsid w:val="000D5EA0"/>
    <w:rsid w:val="000E3E42"/>
    <w:rsid w:val="000E4E2F"/>
    <w:rsid w:val="000F064E"/>
    <w:rsid w:val="000F2821"/>
    <w:rsid w:val="000F2A6A"/>
    <w:rsid w:val="000F2E6A"/>
    <w:rsid w:val="000F4496"/>
    <w:rsid w:val="000F66C0"/>
    <w:rsid w:val="000F69C8"/>
    <w:rsid w:val="000F7C78"/>
    <w:rsid w:val="001017A3"/>
    <w:rsid w:val="00104232"/>
    <w:rsid w:val="00106D78"/>
    <w:rsid w:val="00114847"/>
    <w:rsid w:val="001214A3"/>
    <w:rsid w:val="00121FDC"/>
    <w:rsid w:val="0012491D"/>
    <w:rsid w:val="00125C7A"/>
    <w:rsid w:val="00126F52"/>
    <w:rsid w:val="00127A08"/>
    <w:rsid w:val="001333DD"/>
    <w:rsid w:val="001347A7"/>
    <w:rsid w:val="001348C0"/>
    <w:rsid w:val="0014152D"/>
    <w:rsid w:val="00142FD5"/>
    <w:rsid w:val="00144121"/>
    <w:rsid w:val="0014472F"/>
    <w:rsid w:val="00145BDE"/>
    <w:rsid w:val="001472AF"/>
    <w:rsid w:val="001538A6"/>
    <w:rsid w:val="00155526"/>
    <w:rsid w:val="00155C81"/>
    <w:rsid w:val="00155EE9"/>
    <w:rsid w:val="00155EF4"/>
    <w:rsid w:val="00156E00"/>
    <w:rsid w:val="00157ADB"/>
    <w:rsid w:val="00163212"/>
    <w:rsid w:val="001641EA"/>
    <w:rsid w:val="001653E1"/>
    <w:rsid w:val="0016544C"/>
    <w:rsid w:val="00165C74"/>
    <w:rsid w:val="00174A08"/>
    <w:rsid w:val="00186951"/>
    <w:rsid w:val="0018799B"/>
    <w:rsid w:val="00187B78"/>
    <w:rsid w:val="00190DD9"/>
    <w:rsid w:val="00193471"/>
    <w:rsid w:val="00195ED7"/>
    <w:rsid w:val="00196388"/>
    <w:rsid w:val="001A3E5E"/>
    <w:rsid w:val="001A4DE4"/>
    <w:rsid w:val="001B2246"/>
    <w:rsid w:val="001B3340"/>
    <w:rsid w:val="001B468F"/>
    <w:rsid w:val="001B6664"/>
    <w:rsid w:val="001C1425"/>
    <w:rsid w:val="001C32FB"/>
    <w:rsid w:val="001C7F6F"/>
    <w:rsid w:val="001D70CA"/>
    <w:rsid w:val="001D715D"/>
    <w:rsid w:val="001D79CF"/>
    <w:rsid w:val="001E0597"/>
    <w:rsid w:val="001E1594"/>
    <w:rsid w:val="001E2164"/>
    <w:rsid w:val="001E2EB9"/>
    <w:rsid w:val="001E37B0"/>
    <w:rsid w:val="001E58EB"/>
    <w:rsid w:val="00203468"/>
    <w:rsid w:val="00205AC4"/>
    <w:rsid w:val="002060CC"/>
    <w:rsid w:val="00211515"/>
    <w:rsid w:val="0021533D"/>
    <w:rsid w:val="002208AB"/>
    <w:rsid w:val="002218F8"/>
    <w:rsid w:val="0022332D"/>
    <w:rsid w:val="0022385D"/>
    <w:rsid w:val="0022541B"/>
    <w:rsid w:val="00227CDC"/>
    <w:rsid w:val="00232A4A"/>
    <w:rsid w:val="002366C3"/>
    <w:rsid w:val="00240640"/>
    <w:rsid w:val="002407E6"/>
    <w:rsid w:val="00240CA8"/>
    <w:rsid w:val="002472F4"/>
    <w:rsid w:val="00247377"/>
    <w:rsid w:val="002515D1"/>
    <w:rsid w:val="00251B77"/>
    <w:rsid w:val="00252984"/>
    <w:rsid w:val="00253068"/>
    <w:rsid w:val="002563C2"/>
    <w:rsid w:val="00257E18"/>
    <w:rsid w:val="002601F8"/>
    <w:rsid w:val="002624B4"/>
    <w:rsid w:val="002625CA"/>
    <w:rsid w:val="0026295A"/>
    <w:rsid w:val="00262FA3"/>
    <w:rsid w:val="00264330"/>
    <w:rsid w:val="0026580E"/>
    <w:rsid w:val="00266018"/>
    <w:rsid w:val="0026645D"/>
    <w:rsid w:val="00271EC0"/>
    <w:rsid w:val="00273281"/>
    <w:rsid w:val="00273296"/>
    <w:rsid w:val="00273455"/>
    <w:rsid w:val="0027485B"/>
    <w:rsid w:val="00275044"/>
    <w:rsid w:val="002823DE"/>
    <w:rsid w:val="00282A97"/>
    <w:rsid w:val="00285315"/>
    <w:rsid w:val="0028684C"/>
    <w:rsid w:val="00291681"/>
    <w:rsid w:val="00294344"/>
    <w:rsid w:val="00294A83"/>
    <w:rsid w:val="00294EA9"/>
    <w:rsid w:val="0029600E"/>
    <w:rsid w:val="002962DD"/>
    <w:rsid w:val="002A0467"/>
    <w:rsid w:val="002A167B"/>
    <w:rsid w:val="002A2E63"/>
    <w:rsid w:val="002A3662"/>
    <w:rsid w:val="002A613E"/>
    <w:rsid w:val="002A61DC"/>
    <w:rsid w:val="002A766E"/>
    <w:rsid w:val="002B1BD5"/>
    <w:rsid w:val="002B1DF7"/>
    <w:rsid w:val="002B43E0"/>
    <w:rsid w:val="002B4844"/>
    <w:rsid w:val="002B5327"/>
    <w:rsid w:val="002B76E3"/>
    <w:rsid w:val="002B7C1B"/>
    <w:rsid w:val="002C1BB1"/>
    <w:rsid w:val="002C1E1B"/>
    <w:rsid w:val="002C275F"/>
    <w:rsid w:val="002D3978"/>
    <w:rsid w:val="002D44F8"/>
    <w:rsid w:val="002D4BBC"/>
    <w:rsid w:val="002D73E3"/>
    <w:rsid w:val="002E0BB1"/>
    <w:rsid w:val="002E2839"/>
    <w:rsid w:val="002E494B"/>
    <w:rsid w:val="002E6E27"/>
    <w:rsid w:val="002F0B3C"/>
    <w:rsid w:val="002F1655"/>
    <w:rsid w:val="002F1ADD"/>
    <w:rsid w:val="002F250D"/>
    <w:rsid w:val="002F3591"/>
    <w:rsid w:val="002F36CB"/>
    <w:rsid w:val="003003EB"/>
    <w:rsid w:val="003019C7"/>
    <w:rsid w:val="0030204D"/>
    <w:rsid w:val="00305D9A"/>
    <w:rsid w:val="00307E37"/>
    <w:rsid w:val="00311782"/>
    <w:rsid w:val="00311CFF"/>
    <w:rsid w:val="003127CC"/>
    <w:rsid w:val="0031381C"/>
    <w:rsid w:val="00313897"/>
    <w:rsid w:val="003139C6"/>
    <w:rsid w:val="003143DF"/>
    <w:rsid w:val="00317171"/>
    <w:rsid w:val="003210F1"/>
    <w:rsid w:val="00321A48"/>
    <w:rsid w:val="0032259B"/>
    <w:rsid w:val="00325040"/>
    <w:rsid w:val="003270A6"/>
    <w:rsid w:val="00327214"/>
    <w:rsid w:val="00330182"/>
    <w:rsid w:val="00330A30"/>
    <w:rsid w:val="003312E4"/>
    <w:rsid w:val="00331702"/>
    <w:rsid w:val="003366DA"/>
    <w:rsid w:val="00345680"/>
    <w:rsid w:val="003466C1"/>
    <w:rsid w:val="003536A4"/>
    <w:rsid w:val="00356662"/>
    <w:rsid w:val="00357F94"/>
    <w:rsid w:val="00360947"/>
    <w:rsid w:val="003624F7"/>
    <w:rsid w:val="00362CDD"/>
    <w:rsid w:val="00364E33"/>
    <w:rsid w:val="00365203"/>
    <w:rsid w:val="0036749E"/>
    <w:rsid w:val="00374C22"/>
    <w:rsid w:val="00387629"/>
    <w:rsid w:val="00387B21"/>
    <w:rsid w:val="00394C1B"/>
    <w:rsid w:val="0039598A"/>
    <w:rsid w:val="003A2885"/>
    <w:rsid w:val="003A4C8F"/>
    <w:rsid w:val="003A54BB"/>
    <w:rsid w:val="003A55C6"/>
    <w:rsid w:val="003B3226"/>
    <w:rsid w:val="003B5111"/>
    <w:rsid w:val="003B6AC7"/>
    <w:rsid w:val="003C3312"/>
    <w:rsid w:val="003C43DB"/>
    <w:rsid w:val="003C6018"/>
    <w:rsid w:val="003D103C"/>
    <w:rsid w:val="003D1AED"/>
    <w:rsid w:val="003D24E0"/>
    <w:rsid w:val="003D4F0E"/>
    <w:rsid w:val="003D63CC"/>
    <w:rsid w:val="003D6409"/>
    <w:rsid w:val="003D6FE7"/>
    <w:rsid w:val="003E12AE"/>
    <w:rsid w:val="003E73F5"/>
    <w:rsid w:val="003F1207"/>
    <w:rsid w:val="003F554C"/>
    <w:rsid w:val="00402BC4"/>
    <w:rsid w:val="004033CD"/>
    <w:rsid w:val="00410919"/>
    <w:rsid w:val="00413296"/>
    <w:rsid w:val="004149B0"/>
    <w:rsid w:val="0041753F"/>
    <w:rsid w:val="0042038B"/>
    <w:rsid w:val="00421583"/>
    <w:rsid w:val="00421856"/>
    <w:rsid w:val="00432FBC"/>
    <w:rsid w:val="00435BE3"/>
    <w:rsid w:val="0043617C"/>
    <w:rsid w:val="00436741"/>
    <w:rsid w:val="0044009C"/>
    <w:rsid w:val="00440D41"/>
    <w:rsid w:val="00446C5C"/>
    <w:rsid w:val="004522A7"/>
    <w:rsid w:val="00454B7E"/>
    <w:rsid w:val="00456AD1"/>
    <w:rsid w:val="0046074F"/>
    <w:rsid w:val="00462310"/>
    <w:rsid w:val="00463B48"/>
    <w:rsid w:val="00463FE3"/>
    <w:rsid w:val="004648D6"/>
    <w:rsid w:val="0046545B"/>
    <w:rsid w:val="00465BA1"/>
    <w:rsid w:val="00466B87"/>
    <w:rsid w:val="00466E5D"/>
    <w:rsid w:val="00473A6E"/>
    <w:rsid w:val="00475DA8"/>
    <w:rsid w:val="00477CEE"/>
    <w:rsid w:val="00480AB9"/>
    <w:rsid w:val="00481E87"/>
    <w:rsid w:val="00483D06"/>
    <w:rsid w:val="004866E4"/>
    <w:rsid w:val="00487CCA"/>
    <w:rsid w:val="0049021A"/>
    <w:rsid w:val="00491B61"/>
    <w:rsid w:val="004935C4"/>
    <w:rsid w:val="00494F44"/>
    <w:rsid w:val="00495A82"/>
    <w:rsid w:val="00496DE0"/>
    <w:rsid w:val="004A2004"/>
    <w:rsid w:val="004A3105"/>
    <w:rsid w:val="004A68E6"/>
    <w:rsid w:val="004A7A82"/>
    <w:rsid w:val="004A7C1F"/>
    <w:rsid w:val="004B0B47"/>
    <w:rsid w:val="004B2866"/>
    <w:rsid w:val="004B3B81"/>
    <w:rsid w:val="004B482A"/>
    <w:rsid w:val="004C04CB"/>
    <w:rsid w:val="004C09FA"/>
    <w:rsid w:val="004C6421"/>
    <w:rsid w:val="004C6E7E"/>
    <w:rsid w:val="004C716F"/>
    <w:rsid w:val="004D1754"/>
    <w:rsid w:val="004D3227"/>
    <w:rsid w:val="004D3653"/>
    <w:rsid w:val="004D6CF8"/>
    <w:rsid w:val="004E0895"/>
    <w:rsid w:val="004E4047"/>
    <w:rsid w:val="004E4E9D"/>
    <w:rsid w:val="004E57FE"/>
    <w:rsid w:val="004E6202"/>
    <w:rsid w:val="004E74EA"/>
    <w:rsid w:val="004E77AF"/>
    <w:rsid w:val="004E78AB"/>
    <w:rsid w:val="004F1AA9"/>
    <w:rsid w:val="004F1CD8"/>
    <w:rsid w:val="004F2248"/>
    <w:rsid w:val="004F47E0"/>
    <w:rsid w:val="004F522B"/>
    <w:rsid w:val="00500B9C"/>
    <w:rsid w:val="00501926"/>
    <w:rsid w:val="00502320"/>
    <w:rsid w:val="00504151"/>
    <w:rsid w:val="00507B9B"/>
    <w:rsid w:val="00507F99"/>
    <w:rsid w:val="00513A5F"/>
    <w:rsid w:val="00514C19"/>
    <w:rsid w:val="00515FFC"/>
    <w:rsid w:val="00516100"/>
    <w:rsid w:val="00516C66"/>
    <w:rsid w:val="0052113A"/>
    <w:rsid w:val="0052185F"/>
    <w:rsid w:val="00521C5F"/>
    <w:rsid w:val="00524836"/>
    <w:rsid w:val="0052682C"/>
    <w:rsid w:val="00531F9B"/>
    <w:rsid w:val="00535116"/>
    <w:rsid w:val="005360E4"/>
    <w:rsid w:val="00536540"/>
    <w:rsid w:val="0054294C"/>
    <w:rsid w:val="00550726"/>
    <w:rsid w:val="005508D4"/>
    <w:rsid w:val="00550ACB"/>
    <w:rsid w:val="00551FC2"/>
    <w:rsid w:val="005540B3"/>
    <w:rsid w:val="005559BD"/>
    <w:rsid w:val="00563165"/>
    <w:rsid w:val="005647D2"/>
    <w:rsid w:val="00565236"/>
    <w:rsid w:val="00565F4B"/>
    <w:rsid w:val="0057145B"/>
    <w:rsid w:val="00571764"/>
    <w:rsid w:val="00574984"/>
    <w:rsid w:val="005752A7"/>
    <w:rsid w:val="0057731C"/>
    <w:rsid w:val="00585CD0"/>
    <w:rsid w:val="005866F5"/>
    <w:rsid w:val="0058721E"/>
    <w:rsid w:val="0059208B"/>
    <w:rsid w:val="005924FE"/>
    <w:rsid w:val="0059413B"/>
    <w:rsid w:val="00596EB1"/>
    <w:rsid w:val="005A3925"/>
    <w:rsid w:val="005A39C0"/>
    <w:rsid w:val="005A535F"/>
    <w:rsid w:val="005A7A33"/>
    <w:rsid w:val="005B03A8"/>
    <w:rsid w:val="005B19E2"/>
    <w:rsid w:val="005B6331"/>
    <w:rsid w:val="005C0700"/>
    <w:rsid w:val="005C091A"/>
    <w:rsid w:val="005D0091"/>
    <w:rsid w:val="005D0F3D"/>
    <w:rsid w:val="005D1182"/>
    <w:rsid w:val="005D2EDB"/>
    <w:rsid w:val="005D3708"/>
    <w:rsid w:val="005D630C"/>
    <w:rsid w:val="005E2841"/>
    <w:rsid w:val="005E28EC"/>
    <w:rsid w:val="005E359E"/>
    <w:rsid w:val="005E3C00"/>
    <w:rsid w:val="005F02E7"/>
    <w:rsid w:val="005F199F"/>
    <w:rsid w:val="005F1A58"/>
    <w:rsid w:val="005F1E55"/>
    <w:rsid w:val="005F2729"/>
    <w:rsid w:val="005F2ADF"/>
    <w:rsid w:val="005F2F5A"/>
    <w:rsid w:val="005F465B"/>
    <w:rsid w:val="005F7D2C"/>
    <w:rsid w:val="00600C0F"/>
    <w:rsid w:val="0060187C"/>
    <w:rsid w:val="00603379"/>
    <w:rsid w:val="0060537C"/>
    <w:rsid w:val="00610888"/>
    <w:rsid w:val="00610A8A"/>
    <w:rsid w:val="00610C6D"/>
    <w:rsid w:val="00610E34"/>
    <w:rsid w:val="0061746B"/>
    <w:rsid w:val="00617558"/>
    <w:rsid w:val="00620EF4"/>
    <w:rsid w:val="00621415"/>
    <w:rsid w:val="0062202A"/>
    <w:rsid w:val="00623985"/>
    <w:rsid w:val="0062688E"/>
    <w:rsid w:val="00627FEE"/>
    <w:rsid w:val="0063039D"/>
    <w:rsid w:val="006304A0"/>
    <w:rsid w:val="0063156E"/>
    <w:rsid w:val="00632C33"/>
    <w:rsid w:val="00632CFE"/>
    <w:rsid w:val="00635CB3"/>
    <w:rsid w:val="006366A2"/>
    <w:rsid w:val="00637E5A"/>
    <w:rsid w:val="00640E5E"/>
    <w:rsid w:val="00640EE8"/>
    <w:rsid w:val="00643816"/>
    <w:rsid w:val="00645992"/>
    <w:rsid w:val="00645A74"/>
    <w:rsid w:val="006507B0"/>
    <w:rsid w:val="006511DE"/>
    <w:rsid w:val="006513E3"/>
    <w:rsid w:val="00651CE3"/>
    <w:rsid w:val="00652B9B"/>
    <w:rsid w:val="006553D7"/>
    <w:rsid w:val="0065563D"/>
    <w:rsid w:val="00656189"/>
    <w:rsid w:val="0065682E"/>
    <w:rsid w:val="00656E44"/>
    <w:rsid w:val="006648FB"/>
    <w:rsid w:val="00664B06"/>
    <w:rsid w:val="00672B94"/>
    <w:rsid w:val="0067396E"/>
    <w:rsid w:val="0067420B"/>
    <w:rsid w:val="0067520E"/>
    <w:rsid w:val="00676EAA"/>
    <w:rsid w:val="00681DFA"/>
    <w:rsid w:val="006824C2"/>
    <w:rsid w:val="00683071"/>
    <w:rsid w:val="00685535"/>
    <w:rsid w:val="00686320"/>
    <w:rsid w:val="006A0856"/>
    <w:rsid w:val="006A15DF"/>
    <w:rsid w:val="006A1C12"/>
    <w:rsid w:val="006A3515"/>
    <w:rsid w:val="006A3598"/>
    <w:rsid w:val="006A3F00"/>
    <w:rsid w:val="006A78CE"/>
    <w:rsid w:val="006A7C94"/>
    <w:rsid w:val="006B02D2"/>
    <w:rsid w:val="006B0F81"/>
    <w:rsid w:val="006B1C20"/>
    <w:rsid w:val="006B296E"/>
    <w:rsid w:val="006B29CA"/>
    <w:rsid w:val="006C26E7"/>
    <w:rsid w:val="006C6723"/>
    <w:rsid w:val="006D0E4D"/>
    <w:rsid w:val="006D2029"/>
    <w:rsid w:val="006D5D9E"/>
    <w:rsid w:val="006D6DCA"/>
    <w:rsid w:val="006E2D94"/>
    <w:rsid w:val="006E4A94"/>
    <w:rsid w:val="006E61B6"/>
    <w:rsid w:val="006F03F0"/>
    <w:rsid w:val="006F0CD3"/>
    <w:rsid w:val="006F1E00"/>
    <w:rsid w:val="006F229D"/>
    <w:rsid w:val="00701A21"/>
    <w:rsid w:val="007023F7"/>
    <w:rsid w:val="007052E9"/>
    <w:rsid w:val="00705AF1"/>
    <w:rsid w:val="00705B51"/>
    <w:rsid w:val="00707548"/>
    <w:rsid w:val="00707CF4"/>
    <w:rsid w:val="0071004C"/>
    <w:rsid w:val="00711C9B"/>
    <w:rsid w:val="00714171"/>
    <w:rsid w:val="00714260"/>
    <w:rsid w:val="00715999"/>
    <w:rsid w:val="0071686A"/>
    <w:rsid w:val="007216CA"/>
    <w:rsid w:val="007218AF"/>
    <w:rsid w:val="00722759"/>
    <w:rsid w:val="00727542"/>
    <w:rsid w:val="00730FF7"/>
    <w:rsid w:val="00731C6A"/>
    <w:rsid w:val="00731CC9"/>
    <w:rsid w:val="007320DD"/>
    <w:rsid w:val="00732D76"/>
    <w:rsid w:val="00733EE1"/>
    <w:rsid w:val="007347E8"/>
    <w:rsid w:val="007356D6"/>
    <w:rsid w:val="007362B8"/>
    <w:rsid w:val="007369DC"/>
    <w:rsid w:val="00736C61"/>
    <w:rsid w:val="007376EF"/>
    <w:rsid w:val="00737A58"/>
    <w:rsid w:val="007436C5"/>
    <w:rsid w:val="00750378"/>
    <w:rsid w:val="00753C4C"/>
    <w:rsid w:val="0075573D"/>
    <w:rsid w:val="00756412"/>
    <w:rsid w:val="0075673A"/>
    <w:rsid w:val="00757FD5"/>
    <w:rsid w:val="0076201E"/>
    <w:rsid w:val="00762BE9"/>
    <w:rsid w:val="00765921"/>
    <w:rsid w:val="00770817"/>
    <w:rsid w:val="00770A31"/>
    <w:rsid w:val="007710F7"/>
    <w:rsid w:val="007722A3"/>
    <w:rsid w:val="00772404"/>
    <w:rsid w:val="0077256C"/>
    <w:rsid w:val="00772AFA"/>
    <w:rsid w:val="0077344C"/>
    <w:rsid w:val="007739DE"/>
    <w:rsid w:val="00773EA2"/>
    <w:rsid w:val="0077548E"/>
    <w:rsid w:val="00775EEB"/>
    <w:rsid w:val="00781852"/>
    <w:rsid w:val="0078555E"/>
    <w:rsid w:val="007858D6"/>
    <w:rsid w:val="00786EF1"/>
    <w:rsid w:val="00786F02"/>
    <w:rsid w:val="00787762"/>
    <w:rsid w:val="007878BB"/>
    <w:rsid w:val="007900B3"/>
    <w:rsid w:val="007912D8"/>
    <w:rsid w:val="00794CD0"/>
    <w:rsid w:val="007A4A2D"/>
    <w:rsid w:val="007A6214"/>
    <w:rsid w:val="007A7F6D"/>
    <w:rsid w:val="007B5925"/>
    <w:rsid w:val="007B5C3F"/>
    <w:rsid w:val="007C04E3"/>
    <w:rsid w:val="007C0B1C"/>
    <w:rsid w:val="007C28E6"/>
    <w:rsid w:val="007C2D85"/>
    <w:rsid w:val="007C36C0"/>
    <w:rsid w:val="007C71C3"/>
    <w:rsid w:val="007D061A"/>
    <w:rsid w:val="007D098E"/>
    <w:rsid w:val="007D1149"/>
    <w:rsid w:val="007D18ED"/>
    <w:rsid w:val="007D1FC9"/>
    <w:rsid w:val="007D43F2"/>
    <w:rsid w:val="007D67D8"/>
    <w:rsid w:val="007D699B"/>
    <w:rsid w:val="007E2420"/>
    <w:rsid w:val="007E3E74"/>
    <w:rsid w:val="007E642A"/>
    <w:rsid w:val="007F3FA0"/>
    <w:rsid w:val="007F54C1"/>
    <w:rsid w:val="00803202"/>
    <w:rsid w:val="00803819"/>
    <w:rsid w:val="008041EF"/>
    <w:rsid w:val="00804877"/>
    <w:rsid w:val="00806462"/>
    <w:rsid w:val="008120B8"/>
    <w:rsid w:val="00812525"/>
    <w:rsid w:val="00814AA2"/>
    <w:rsid w:val="00815610"/>
    <w:rsid w:val="008215BF"/>
    <w:rsid w:val="00823645"/>
    <w:rsid w:val="00823E57"/>
    <w:rsid w:val="00824D8B"/>
    <w:rsid w:val="008268D5"/>
    <w:rsid w:val="00831C70"/>
    <w:rsid w:val="00833209"/>
    <w:rsid w:val="00834ED8"/>
    <w:rsid w:val="008357EF"/>
    <w:rsid w:val="008360AB"/>
    <w:rsid w:val="0083646E"/>
    <w:rsid w:val="0084301A"/>
    <w:rsid w:val="008435A7"/>
    <w:rsid w:val="00847CB9"/>
    <w:rsid w:val="00851CCB"/>
    <w:rsid w:val="00856FD8"/>
    <w:rsid w:val="00857A02"/>
    <w:rsid w:val="008635A3"/>
    <w:rsid w:val="00865863"/>
    <w:rsid w:val="00867E3A"/>
    <w:rsid w:val="00873C42"/>
    <w:rsid w:val="008754C2"/>
    <w:rsid w:val="0087553F"/>
    <w:rsid w:val="00880014"/>
    <w:rsid w:val="00883F68"/>
    <w:rsid w:val="00884EC3"/>
    <w:rsid w:val="00885B21"/>
    <w:rsid w:val="00887A93"/>
    <w:rsid w:val="00887D59"/>
    <w:rsid w:val="00890422"/>
    <w:rsid w:val="00891383"/>
    <w:rsid w:val="00891685"/>
    <w:rsid w:val="00892D26"/>
    <w:rsid w:val="008949C0"/>
    <w:rsid w:val="00897067"/>
    <w:rsid w:val="008A06A9"/>
    <w:rsid w:val="008A1368"/>
    <w:rsid w:val="008A3E23"/>
    <w:rsid w:val="008A6C53"/>
    <w:rsid w:val="008B1729"/>
    <w:rsid w:val="008B193E"/>
    <w:rsid w:val="008B2035"/>
    <w:rsid w:val="008B24FB"/>
    <w:rsid w:val="008B2E7D"/>
    <w:rsid w:val="008B4ED0"/>
    <w:rsid w:val="008C12CD"/>
    <w:rsid w:val="008C178D"/>
    <w:rsid w:val="008C211F"/>
    <w:rsid w:val="008C25E7"/>
    <w:rsid w:val="008C2D96"/>
    <w:rsid w:val="008C2DB8"/>
    <w:rsid w:val="008C56E4"/>
    <w:rsid w:val="008C5B8C"/>
    <w:rsid w:val="008C7D6F"/>
    <w:rsid w:val="008C7DD2"/>
    <w:rsid w:val="008D1AC5"/>
    <w:rsid w:val="008D1BD7"/>
    <w:rsid w:val="008D1E4A"/>
    <w:rsid w:val="008D2AF3"/>
    <w:rsid w:val="008D31CF"/>
    <w:rsid w:val="008D4A09"/>
    <w:rsid w:val="008D6160"/>
    <w:rsid w:val="008D7D41"/>
    <w:rsid w:val="008E0AB5"/>
    <w:rsid w:val="008E18D1"/>
    <w:rsid w:val="008E1D2F"/>
    <w:rsid w:val="008E4FF0"/>
    <w:rsid w:val="008E7BF3"/>
    <w:rsid w:val="008F1EEF"/>
    <w:rsid w:val="008F26D9"/>
    <w:rsid w:val="008F326A"/>
    <w:rsid w:val="008F38A6"/>
    <w:rsid w:val="008F4A26"/>
    <w:rsid w:val="008F6CDE"/>
    <w:rsid w:val="008F7B74"/>
    <w:rsid w:val="009028BF"/>
    <w:rsid w:val="00904FC7"/>
    <w:rsid w:val="00905AC4"/>
    <w:rsid w:val="00906602"/>
    <w:rsid w:val="00906755"/>
    <w:rsid w:val="009073A0"/>
    <w:rsid w:val="00907A18"/>
    <w:rsid w:val="00907BEA"/>
    <w:rsid w:val="00910816"/>
    <w:rsid w:val="00910CB4"/>
    <w:rsid w:val="00911087"/>
    <w:rsid w:val="009127E3"/>
    <w:rsid w:val="0091287D"/>
    <w:rsid w:val="00916ABF"/>
    <w:rsid w:val="00917B0A"/>
    <w:rsid w:val="00921801"/>
    <w:rsid w:val="00927195"/>
    <w:rsid w:val="00935F24"/>
    <w:rsid w:val="00937BCF"/>
    <w:rsid w:val="00937FDC"/>
    <w:rsid w:val="00942DF9"/>
    <w:rsid w:val="00943227"/>
    <w:rsid w:val="00945188"/>
    <w:rsid w:val="009457AD"/>
    <w:rsid w:val="009501D8"/>
    <w:rsid w:val="00950324"/>
    <w:rsid w:val="00952DE5"/>
    <w:rsid w:val="009558CE"/>
    <w:rsid w:val="00962B7A"/>
    <w:rsid w:val="00963EC9"/>
    <w:rsid w:val="00964857"/>
    <w:rsid w:val="00967CFD"/>
    <w:rsid w:val="00973C45"/>
    <w:rsid w:val="009829D0"/>
    <w:rsid w:val="00982CC1"/>
    <w:rsid w:val="00985516"/>
    <w:rsid w:val="00985B35"/>
    <w:rsid w:val="00985B4B"/>
    <w:rsid w:val="00986E37"/>
    <w:rsid w:val="00986FDE"/>
    <w:rsid w:val="00987244"/>
    <w:rsid w:val="0099447E"/>
    <w:rsid w:val="0099504D"/>
    <w:rsid w:val="009A469C"/>
    <w:rsid w:val="009A4AE5"/>
    <w:rsid w:val="009A7580"/>
    <w:rsid w:val="009A79C0"/>
    <w:rsid w:val="009B13E4"/>
    <w:rsid w:val="009B1D5E"/>
    <w:rsid w:val="009B5BC9"/>
    <w:rsid w:val="009B7E95"/>
    <w:rsid w:val="009C127A"/>
    <w:rsid w:val="009C1FE4"/>
    <w:rsid w:val="009C233C"/>
    <w:rsid w:val="009C6E73"/>
    <w:rsid w:val="009D6D3A"/>
    <w:rsid w:val="009D75F7"/>
    <w:rsid w:val="009D7EA5"/>
    <w:rsid w:val="009E123B"/>
    <w:rsid w:val="009E139C"/>
    <w:rsid w:val="009E35E1"/>
    <w:rsid w:val="009E65A5"/>
    <w:rsid w:val="009E783E"/>
    <w:rsid w:val="009F16C7"/>
    <w:rsid w:val="009F3313"/>
    <w:rsid w:val="00A01491"/>
    <w:rsid w:val="00A01D70"/>
    <w:rsid w:val="00A06FE8"/>
    <w:rsid w:val="00A07239"/>
    <w:rsid w:val="00A0774E"/>
    <w:rsid w:val="00A10792"/>
    <w:rsid w:val="00A1109E"/>
    <w:rsid w:val="00A12C0F"/>
    <w:rsid w:val="00A14B99"/>
    <w:rsid w:val="00A14EEA"/>
    <w:rsid w:val="00A150CD"/>
    <w:rsid w:val="00A15BE7"/>
    <w:rsid w:val="00A179FA"/>
    <w:rsid w:val="00A20AB2"/>
    <w:rsid w:val="00A2374F"/>
    <w:rsid w:val="00A237ED"/>
    <w:rsid w:val="00A3247A"/>
    <w:rsid w:val="00A33D7F"/>
    <w:rsid w:val="00A362F5"/>
    <w:rsid w:val="00A377DB"/>
    <w:rsid w:val="00A4040E"/>
    <w:rsid w:val="00A42ECE"/>
    <w:rsid w:val="00A449DD"/>
    <w:rsid w:val="00A453D5"/>
    <w:rsid w:val="00A50D61"/>
    <w:rsid w:val="00A5199F"/>
    <w:rsid w:val="00A521E8"/>
    <w:rsid w:val="00A52D3C"/>
    <w:rsid w:val="00A57F45"/>
    <w:rsid w:val="00A602D7"/>
    <w:rsid w:val="00A65702"/>
    <w:rsid w:val="00A705D8"/>
    <w:rsid w:val="00A739F9"/>
    <w:rsid w:val="00A74362"/>
    <w:rsid w:val="00A77444"/>
    <w:rsid w:val="00A81120"/>
    <w:rsid w:val="00A83806"/>
    <w:rsid w:val="00A83A35"/>
    <w:rsid w:val="00A84383"/>
    <w:rsid w:val="00A864EC"/>
    <w:rsid w:val="00A87F1A"/>
    <w:rsid w:val="00A91113"/>
    <w:rsid w:val="00A91394"/>
    <w:rsid w:val="00A913C6"/>
    <w:rsid w:val="00A91C67"/>
    <w:rsid w:val="00A93C7E"/>
    <w:rsid w:val="00A969B1"/>
    <w:rsid w:val="00AA0067"/>
    <w:rsid w:val="00AB1A71"/>
    <w:rsid w:val="00AB2D1E"/>
    <w:rsid w:val="00AB2F29"/>
    <w:rsid w:val="00AB34C5"/>
    <w:rsid w:val="00AB36EB"/>
    <w:rsid w:val="00AB3ABD"/>
    <w:rsid w:val="00AB5A91"/>
    <w:rsid w:val="00AB6D37"/>
    <w:rsid w:val="00AB7F75"/>
    <w:rsid w:val="00AC0D51"/>
    <w:rsid w:val="00AC18FD"/>
    <w:rsid w:val="00AC571C"/>
    <w:rsid w:val="00AC6B71"/>
    <w:rsid w:val="00AC7D95"/>
    <w:rsid w:val="00AC7E82"/>
    <w:rsid w:val="00AD1910"/>
    <w:rsid w:val="00AD2439"/>
    <w:rsid w:val="00AD5034"/>
    <w:rsid w:val="00AD53E2"/>
    <w:rsid w:val="00AD780F"/>
    <w:rsid w:val="00AE2CFD"/>
    <w:rsid w:val="00AE6539"/>
    <w:rsid w:val="00AE7C7A"/>
    <w:rsid w:val="00AF2F7E"/>
    <w:rsid w:val="00AF3409"/>
    <w:rsid w:val="00AF4BB0"/>
    <w:rsid w:val="00AF51C5"/>
    <w:rsid w:val="00AF7FDD"/>
    <w:rsid w:val="00B01789"/>
    <w:rsid w:val="00B01F1A"/>
    <w:rsid w:val="00B02B27"/>
    <w:rsid w:val="00B04E96"/>
    <w:rsid w:val="00B063CC"/>
    <w:rsid w:val="00B06DBF"/>
    <w:rsid w:val="00B0758C"/>
    <w:rsid w:val="00B1059A"/>
    <w:rsid w:val="00B10782"/>
    <w:rsid w:val="00B110E2"/>
    <w:rsid w:val="00B124A9"/>
    <w:rsid w:val="00B13433"/>
    <w:rsid w:val="00B16131"/>
    <w:rsid w:val="00B16B12"/>
    <w:rsid w:val="00B17317"/>
    <w:rsid w:val="00B177D1"/>
    <w:rsid w:val="00B2071A"/>
    <w:rsid w:val="00B21C7C"/>
    <w:rsid w:val="00B230FE"/>
    <w:rsid w:val="00B26EDF"/>
    <w:rsid w:val="00B27DE3"/>
    <w:rsid w:val="00B322EB"/>
    <w:rsid w:val="00B3265D"/>
    <w:rsid w:val="00B34A3F"/>
    <w:rsid w:val="00B35042"/>
    <w:rsid w:val="00B36C7F"/>
    <w:rsid w:val="00B4056D"/>
    <w:rsid w:val="00B4123C"/>
    <w:rsid w:val="00B4305C"/>
    <w:rsid w:val="00B52521"/>
    <w:rsid w:val="00B52A3D"/>
    <w:rsid w:val="00B53F39"/>
    <w:rsid w:val="00B54392"/>
    <w:rsid w:val="00B55309"/>
    <w:rsid w:val="00B55B65"/>
    <w:rsid w:val="00B57CC2"/>
    <w:rsid w:val="00B6056D"/>
    <w:rsid w:val="00B61F34"/>
    <w:rsid w:val="00B623CE"/>
    <w:rsid w:val="00B64F8F"/>
    <w:rsid w:val="00B67AFF"/>
    <w:rsid w:val="00B77442"/>
    <w:rsid w:val="00B77A7E"/>
    <w:rsid w:val="00B81AFD"/>
    <w:rsid w:val="00B83BBC"/>
    <w:rsid w:val="00B86D6C"/>
    <w:rsid w:val="00B87413"/>
    <w:rsid w:val="00B876C4"/>
    <w:rsid w:val="00B901BA"/>
    <w:rsid w:val="00B941CB"/>
    <w:rsid w:val="00B94C49"/>
    <w:rsid w:val="00B9587F"/>
    <w:rsid w:val="00B967CC"/>
    <w:rsid w:val="00B96C95"/>
    <w:rsid w:val="00BA0863"/>
    <w:rsid w:val="00BA3DB6"/>
    <w:rsid w:val="00BA4D7A"/>
    <w:rsid w:val="00BA6FDC"/>
    <w:rsid w:val="00BB00FF"/>
    <w:rsid w:val="00BB04F7"/>
    <w:rsid w:val="00BB2304"/>
    <w:rsid w:val="00BB4AE9"/>
    <w:rsid w:val="00BB7F4D"/>
    <w:rsid w:val="00BC0425"/>
    <w:rsid w:val="00BC172A"/>
    <w:rsid w:val="00BC3038"/>
    <w:rsid w:val="00BC37A2"/>
    <w:rsid w:val="00BC4A21"/>
    <w:rsid w:val="00BC575C"/>
    <w:rsid w:val="00BD0AB1"/>
    <w:rsid w:val="00BD0D30"/>
    <w:rsid w:val="00BD369C"/>
    <w:rsid w:val="00BD4A79"/>
    <w:rsid w:val="00BD4CE5"/>
    <w:rsid w:val="00BD523E"/>
    <w:rsid w:val="00BD7406"/>
    <w:rsid w:val="00BE0C45"/>
    <w:rsid w:val="00BE299A"/>
    <w:rsid w:val="00BE49B3"/>
    <w:rsid w:val="00BE5064"/>
    <w:rsid w:val="00BF051F"/>
    <w:rsid w:val="00BF12AB"/>
    <w:rsid w:val="00C01596"/>
    <w:rsid w:val="00C02FD2"/>
    <w:rsid w:val="00C0333C"/>
    <w:rsid w:val="00C04CBC"/>
    <w:rsid w:val="00C05EE2"/>
    <w:rsid w:val="00C0736A"/>
    <w:rsid w:val="00C11ACA"/>
    <w:rsid w:val="00C13988"/>
    <w:rsid w:val="00C1517D"/>
    <w:rsid w:val="00C1525A"/>
    <w:rsid w:val="00C2010E"/>
    <w:rsid w:val="00C20323"/>
    <w:rsid w:val="00C21753"/>
    <w:rsid w:val="00C22650"/>
    <w:rsid w:val="00C22883"/>
    <w:rsid w:val="00C23ECA"/>
    <w:rsid w:val="00C267A3"/>
    <w:rsid w:val="00C27E2C"/>
    <w:rsid w:val="00C317A2"/>
    <w:rsid w:val="00C334A9"/>
    <w:rsid w:val="00C43ECB"/>
    <w:rsid w:val="00C46891"/>
    <w:rsid w:val="00C53856"/>
    <w:rsid w:val="00C53A1F"/>
    <w:rsid w:val="00C6053F"/>
    <w:rsid w:val="00C61799"/>
    <w:rsid w:val="00C62A70"/>
    <w:rsid w:val="00C66096"/>
    <w:rsid w:val="00C662E6"/>
    <w:rsid w:val="00C665C6"/>
    <w:rsid w:val="00C751DB"/>
    <w:rsid w:val="00C8041A"/>
    <w:rsid w:val="00C81B4F"/>
    <w:rsid w:val="00C82CC7"/>
    <w:rsid w:val="00C83C27"/>
    <w:rsid w:val="00C83FDA"/>
    <w:rsid w:val="00C864C2"/>
    <w:rsid w:val="00C90370"/>
    <w:rsid w:val="00C9125A"/>
    <w:rsid w:val="00C94584"/>
    <w:rsid w:val="00C9686F"/>
    <w:rsid w:val="00CA12DC"/>
    <w:rsid w:val="00CA39AE"/>
    <w:rsid w:val="00CA6C17"/>
    <w:rsid w:val="00CB0999"/>
    <w:rsid w:val="00CB0DB8"/>
    <w:rsid w:val="00CB1129"/>
    <w:rsid w:val="00CB26EC"/>
    <w:rsid w:val="00CB3D75"/>
    <w:rsid w:val="00CB78AA"/>
    <w:rsid w:val="00CC1A51"/>
    <w:rsid w:val="00CC4505"/>
    <w:rsid w:val="00CC4E8E"/>
    <w:rsid w:val="00CD32A7"/>
    <w:rsid w:val="00CD4744"/>
    <w:rsid w:val="00CD4747"/>
    <w:rsid w:val="00CD4BBB"/>
    <w:rsid w:val="00CD73CC"/>
    <w:rsid w:val="00CE09D1"/>
    <w:rsid w:val="00CE25B7"/>
    <w:rsid w:val="00CE42D0"/>
    <w:rsid w:val="00CE6C75"/>
    <w:rsid w:val="00CE6E9C"/>
    <w:rsid w:val="00CE701E"/>
    <w:rsid w:val="00CF12F6"/>
    <w:rsid w:val="00CF3135"/>
    <w:rsid w:val="00CF3200"/>
    <w:rsid w:val="00CF70BB"/>
    <w:rsid w:val="00D00D7E"/>
    <w:rsid w:val="00D045E5"/>
    <w:rsid w:val="00D1268B"/>
    <w:rsid w:val="00D12EFC"/>
    <w:rsid w:val="00D15006"/>
    <w:rsid w:val="00D154D8"/>
    <w:rsid w:val="00D171E4"/>
    <w:rsid w:val="00D208BA"/>
    <w:rsid w:val="00D239EE"/>
    <w:rsid w:val="00D24248"/>
    <w:rsid w:val="00D25AA2"/>
    <w:rsid w:val="00D2776C"/>
    <w:rsid w:val="00D27885"/>
    <w:rsid w:val="00D304C7"/>
    <w:rsid w:val="00D330E5"/>
    <w:rsid w:val="00D34850"/>
    <w:rsid w:val="00D35987"/>
    <w:rsid w:val="00D404EE"/>
    <w:rsid w:val="00D40D31"/>
    <w:rsid w:val="00D41D57"/>
    <w:rsid w:val="00D44111"/>
    <w:rsid w:val="00D443DC"/>
    <w:rsid w:val="00D46578"/>
    <w:rsid w:val="00D47933"/>
    <w:rsid w:val="00D5574F"/>
    <w:rsid w:val="00D61E5B"/>
    <w:rsid w:val="00D66249"/>
    <w:rsid w:val="00D67077"/>
    <w:rsid w:val="00D700B0"/>
    <w:rsid w:val="00D74B63"/>
    <w:rsid w:val="00D751C0"/>
    <w:rsid w:val="00D77516"/>
    <w:rsid w:val="00D8130C"/>
    <w:rsid w:val="00D81F53"/>
    <w:rsid w:val="00D83226"/>
    <w:rsid w:val="00D83584"/>
    <w:rsid w:val="00D851F2"/>
    <w:rsid w:val="00D85BA1"/>
    <w:rsid w:val="00D87CD8"/>
    <w:rsid w:val="00D91195"/>
    <w:rsid w:val="00D912F2"/>
    <w:rsid w:val="00D925E5"/>
    <w:rsid w:val="00D9344D"/>
    <w:rsid w:val="00D95A03"/>
    <w:rsid w:val="00D97834"/>
    <w:rsid w:val="00DA109C"/>
    <w:rsid w:val="00DA4784"/>
    <w:rsid w:val="00DA4E91"/>
    <w:rsid w:val="00DA77C8"/>
    <w:rsid w:val="00DB074D"/>
    <w:rsid w:val="00DB1C86"/>
    <w:rsid w:val="00DB6F39"/>
    <w:rsid w:val="00DB7B8F"/>
    <w:rsid w:val="00DC0BA8"/>
    <w:rsid w:val="00DC1F37"/>
    <w:rsid w:val="00DC2831"/>
    <w:rsid w:val="00DC345B"/>
    <w:rsid w:val="00DC35A1"/>
    <w:rsid w:val="00DC36F5"/>
    <w:rsid w:val="00DD0597"/>
    <w:rsid w:val="00DD1673"/>
    <w:rsid w:val="00DD1E13"/>
    <w:rsid w:val="00DD27F9"/>
    <w:rsid w:val="00DD2B8B"/>
    <w:rsid w:val="00DD32E8"/>
    <w:rsid w:val="00DD4591"/>
    <w:rsid w:val="00DD4801"/>
    <w:rsid w:val="00DD50FB"/>
    <w:rsid w:val="00DD678B"/>
    <w:rsid w:val="00DE13B4"/>
    <w:rsid w:val="00DE2FB2"/>
    <w:rsid w:val="00DE3016"/>
    <w:rsid w:val="00DE4D17"/>
    <w:rsid w:val="00DE5CAB"/>
    <w:rsid w:val="00DE5D43"/>
    <w:rsid w:val="00DE5E38"/>
    <w:rsid w:val="00DE6CC2"/>
    <w:rsid w:val="00DF038F"/>
    <w:rsid w:val="00DF16A7"/>
    <w:rsid w:val="00DF5058"/>
    <w:rsid w:val="00DF5EF3"/>
    <w:rsid w:val="00DF678B"/>
    <w:rsid w:val="00DF7C75"/>
    <w:rsid w:val="00E009B5"/>
    <w:rsid w:val="00E00CB4"/>
    <w:rsid w:val="00E05829"/>
    <w:rsid w:val="00E06C34"/>
    <w:rsid w:val="00E06D58"/>
    <w:rsid w:val="00E107F8"/>
    <w:rsid w:val="00E11C7E"/>
    <w:rsid w:val="00E1312B"/>
    <w:rsid w:val="00E135A8"/>
    <w:rsid w:val="00E14CBC"/>
    <w:rsid w:val="00E15571"/>
    <w:rsid w:val="00E17F43"/>
    <w:rsid w:val="00E20C3E"/>
    <w:rsid w:val="00E22971"/>
    <w:rsid w:val="00E235D7"/>
    <w:rsid w:val="00E34572"/>
    <w:rsid w:val="00E34B61"/>
    <w:rsid w:val="00E361A3"/>
    <w:rsid w:val="00E36962"/>
    <w:rsid w:val="00E37831"/>
    <w:rsid w:val="00E42770"/>
    <w:rsid w:val="00E46567"/>
    <w:rsid w:val="00E4706A"/>
    <w:rsid w:val="00E57DA4"/>
    <w:rsid w:val="00E60CF4"/>
    <w:rsid w:val="00E619CF"/>
    <w:rsid w:val="00E67695"/>
    <w:rsid w:val="00E70B24"/>
    <w:rsid w:val="00E734B2"/>
    <w:rsid w:val="00E76F50"/>
    <w:rsid w:val="00E77328"/>
    <w:rsid w:val="00E80C91"/>
    <w:rsid w:val="00E8189C"/>
    <w:rsid w:val="00E8571C"/>
    <w:rsid w:val="00E868B3"/>
    <w:rsid w:val="00E91501"/>
    <w:rsid w:val="00E92DAB"/>
    <w:rsid w:val="00E92F38"/>
    <w:rsid w:val="00E958EA"/>
    <w:rsid w:val="00E96653"/>
    <w:rsid w:val="00E970D4"/>
    <w:rsid w:val="00EB0987"/>
    <w:rsid w:val="00EB7ABA"/>
    <w:rsid w:val="00EC0BAC"/>
    <w:rsid w:val="00EC1FF2"/>
    <w:rsid w:val="00EC4C73"/>
    <w:rsid w:val="00EC53AE"/>
    <w:rsid w:val="00EC60A0"/>
    <w:rsid w:val="00EC6EB3"/>
    <w:rsid w:val="00ED0BDF"/>
    <w:rsid w:val="00ED1943"/>
    <w:rsid w:val="00ED4AB5"/>
    <w:rsid w:val="00EE2602"/>
    <w:rsid w:val="00EE622D"/>
    <w:rsid w:val="00EE75E3"/>
    <w:rsid w:val="00EF08F5"/>
    <w:rsid w:val="00EF094B"/>
    <w:rsid w:val="00EF1F52"/>
    <w:rsid w:val="00EF37AE"/>
    <w:rsid w:val="00EF4BB0"/>
    <w:rsid w:val="00F03568"/>
    <w:rsid w:val="00F060C4"/>
    <w:rsid w:val="00F06745"/>
    <w:rsid w:val="00F11F3A"/>
    <w:rsid w:val="00F15771"/>
    <w:rsid w:val="00F16FBD"/>
    <w:rsid w:val="00F17A73"/>
    <w:rsid w:val="00F20485"/>
    <w:rsid w:val="00F21ACD"/>
    <w:rsid w:val="00F222BB"/>
    <w:rsid w:val="00F24C08"/>
    <w:rsid w:val="00F24E33"/>
    <w:rsid w:val="00F27549"/>
    <w:rsid w:val="00F31AB1"/>
    <w:rsid w:val="00F31EDD"/>
    <w:rsid w:val="00F363BD"/>
    <w:rsid w:val="00F36730"/>
    <w:rsid w:val="00F4357E"/>
    <w:rsid w:val="00F4436E"/>
    <w:rsid w:val="00F44B54"/>
    <w:rsid w:val="00F45F4E"/>
    <w:rsid w:val="00F52BA9"/>
    <w:rsid w:val="00F54BAE"/>
    <w:rsid w:val="00F5525C"/>
    <w:rsid w:val="00F57092"/>
    <w:rsid w:val="00F64501"/>
    <w:rsid w:val="00F6756E"/>
    <w:rsid w:val="00F74D31"/>
    <w:rsid w:val="00F815A8"/>
    <w:rsid w:val="00F82878"/>
    <w:rsid w:val="00F83445"/>
    <w:rsid w:val="00F85A84"/>
    <w:rsid w:val="00F87127"/>
    <w:rsid w:val="00F9142A"/>
    <w:rsid w:val="00FA7D73"/>
    <w:rsid w:val="00FA7F1C"/>
    <w:rsid w:val="00FB15CF"/>
    <w:rsid w:val="00FB2430"/>
    <w:rsid w:val="00FB42DA"/>
    <w:rsid w:val="00FB695B"/>
    <w:rsid w:val="00FB7136"/>
    <w:rsid w:val="00FB7A47"/>
    <w:rsid w:val="00FB7C59"/>
    <w:rsid w:val="00FC1383"/>
    <w:rsid w:val="00FC5E9D"/>
    <w:rsid w:val="00FC6957"/>
    <w:rsid w:val="00FD02B9"/>
    <w:rsid w:val="00FD1043"/>
    <w:rsid w:val="00FD453E"/>
    <w:rsid w:val="00FD778A"/>
    <w:rsid w:val="00FE041D"/>
    <w:rsid w:val="00FE0BFC"/>
    <w:rsid w:val="00FE112F"/>
    <w:rsid w:val="00FE2D1D"/>
    <w:rsid w:val="00FE7731"/>
    <w:rsid w:val="00FF0DEC"/>
    <w:rsid w:val="00FF2140"/>
    <w:rsid w:val="00FF2411"/>
    <w:rsid w:val="00FF3444"/>
    <w:rsid w:val="00FF4109"/>
    <w:rsid w:val="0147B9D4"/>
    <w:rsid w:val="0274ECED"/>
    <w:rsid w:val="02E4F8DA"/>
    <w:rsid w:val="03DA7115"/>
    <w:rsid w:val="04BC279D"/>
    <w:rsid w:val="04D7D34E"/>
    <w:rsid w:val="05107C17"/>
    <w:rsid w:val="0648DF40"/>
    <w:rsid w:val="08F99FE9"/>
    <w:rsid w:val="096C50EF"/>
    <w:rsid w:val="0A040E48"/>
    <w:rsid w:val="0B18F237"/>
    <w:rsid w:val="0BC6AC10"/>
    <w:rsid w:val="0C39761A"/>
    <w:rsid w:val="0C9F9DF6"/>
    <w:rsid w:val="11C88944"/>
    <w:rsid w:val="123032FD"/>
    <w:rsid w:val="14BB2A3D"/>
    <w:rsid w:val="1545F3F5"/>
    <w:rsid w:val="15FDF1AE"/>
    <w:rsid w:val="176C5DD2"/>
    <w:rsid w:val="186F1A88"/>
    <w:rsid w:val="1A20C844"/>
    <w:rsid w:val="1BDF1033"/>
    <w:rsid w:val="1CEE6119"/>
    <w:rsid w:val="1EB54831"/>
    <w:rsid w:val="1F67D6E4"/>
    <w:rsid w:val="205C7424"/>
    <w:rsid w:val="20E7ADB9"/>
    <w:rsid w:val="21396D3A"/>
    <w:rsid w:val="23847076"/>
    <w:rsid w:val="266A905F"/>
    <w:rsid w:val="2682A76E"/>
    <w:rsid w:val="2A1B33CE"/>
    <w:rsid w:val="2AC05F61"/>
    <w:rsid w:val="2B48EBDC"/>
    <w:rsid w:val="2BC94556"/>
    <w:rsid w:val="2EDB3FED"/>
    <w:rsid w:val="2F384F3E"/>
    <w:rsid w:val="2F51B74E"/>
    <w:rsid w:val="2FD873B8"/>
    <w:rsid w:val="302EC7F6"/>
    <w:rsid w:val="320CDF21"/>
    <w:rsid w:val="35FD64B4"/>
    <w:rsid w:val="3664E06F"/>
    <w:rsid w:val="3A51D197"/>
    <w:rsid w:val="3AAD7F9E"/>
    <w:rsid w:val="3D9AF8B8"/>
    <w:rsid w:val="3F4C710C"/>
    <w:rsid w:val="4086D427"/>
    <w:rsid w:val="4447F390"/>
    <w:rsid w:val="44CF2F35"/>
    <w:rsid w:val="455458AE"/>
    <w:rsid w:val="459FEC94"/>
    <w:rsid w:val="4676EFC8"/>
    <w:rsid w:val="477DBE31"/>
    <w:rsid w:val="4A489482"/>
    <w:rsid w:val="50923E2A"/>
    <w:rsid w:val="50A2A1BC"/>
    <w:rsid w:val="53CDC06C"/>
    <w:rsid w:val="57825116"/>
    <w:rsid w:val="57A6FE79"/>
    <w:rsid w:val="5A5D0BB4"/>
    <w:rsid w:val="5C1090A8"/>
    <w:rsid w:val="5F4A405F"/>
    <w:rsid w:val="5FF9C376"/>
    <w:rsid w:val="61C49133"/>
    <w:rsid w:val="63AE1162"/>
    <w:rsid w:val="665278DF"/>
    <w:rsid w:val="6707A984"/>
    <w:rsid w:val="68684B31"/>
    <w:rsid w:val="68BD2182"/>
    <w:rsid w:val="6E4640F6"/>
    <w:rsid w:val="6E87A470"/>
    <w:rsid w:val="6EBBB63F"/>
    <w:rsid w:val="6F64DDF8"/>
    <w:rsid w:val="6F915474"/>
    <w:rsid w:val="71CC3B45"/>
    <w:rsid w:val="730CFAED"/>
    <w:rsid w:val="73A43CAD"/>
    <w:rsid w:val="7456170A"/>
    <w:rsid w:val="749252EE"/>
    <w:rsid w:val="75CED1CE"/>
    <w:rsid w:val="76929550"/>
    <w:rsid w:val="78B2FE08"/>
    <w:rsid w:val="79A15398"/>
    <w:rsid w:val="7A118A52"/>
    <w:rsid w:val="7A64C6CE"/>
    <w:rsid w:val="7D90CA00"/>
    <w:rsid w:val="7E1D50CC"/>
    <w:rsid w:val="7F15A973"/>
  </w:rsids>
  <m:mathPr>
    <m:mathFont m:val="Cambria Math"/>
    <m:brkBin m:val="before"/>
    <m:brkBinSub m:val="--"/>
    <m:smallFrac m:val="0"/>
    <m:dispDef/>
    <m:lMargin m:val="0"/>
    <m:rMargin m:val="0"/>
    <m:defJc m:val="centerGroup"/>
    <m:wrapIndent m:val="1440"/>
    <m:intLim m:val="subSup"/>
    <m:naryLim m:val="undOvr"/>
  </m:mathPr>
  <w:themeFontLang w:val="en-Z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A205E"/>
  <w15:chartTrackingRefBased/>
  <w15:docId w15:val="{AE8E0A18-BF37-42C7-94AC-A4009A0DCC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ZA"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B2430"/>
    <w:pPr>
      <w:spacing w:before="120" w:after="120"/>
    </w:pPr>
    <w:rPr>
      <w:rFonts w:ascii="Arial" w:hAnsi="Arial" w:cstheme="majorHAnsi"/>
      <w:lang w:val="en-AU"/>
    </w:rPr>
  </w:style>
  <w:style w:type="paragraph" w:styleId="Heading1">
    <w:name w:val="heading 1"/>
    <w:basedOn w:val="Normal"/>
    <w:next w:val="Normal"/>
    <w:link w:val="Heading1Char"/>
    <w:uiPriority w:val="9"/>
    <w:qFormat/>
    <w:rsid w:val="00CD4744"/>
    <w:pPr>
      <w:keepNext/>
      <w:keepLines/>
      <w:spacing w:before="240" w:after="240"/>
      <w:outlineLvl w:val="0"/>
    </w:pPr>
    <w:rPr>
      <w:rFonts w:eastAsiaTheme="majorEastAsia" w:cstheme="majorBidi"/>
      <w:b/>
      <w:bCs/>
      <w:color w:val="78226D" w:themeColor="accent4"/>
      <w:sz w:val="56"/>
      <w:szCs w:val="92"/>
    </w:rPr>
  </w:style>
  <w:style w:type="paragraph" w:styleId="Heading2">
    <w:name w:val="heading 2"/>
    <w:basedOn w:val="Normal"/>
    <w:next w:val="Normal"/>
    <w:link w:val="Heading2Char"/>
    <w:uiPriority w:val="9"/>
    <w:unhideWhenUsed/>
    <w:qFormat/>
    <w:rsid w:val="00DA109C"/>
    <w:pPr>
      <w:keepNext/>
      <w:keepLines/>
      <w:spacing w:before="160" w:after="80"/>
      <w:outlineLvl w:val="1"/>
    </w:pPr>
    <w:rPr>
      <w:rFonts w:eastAsiaTheme="majorEastAsia" w:cstheme="majorBidi"/>
      <w:bCs/>
      <w:color w:val="5F266B"/>
      <w:sz w:val="36"/>
      <w:szCs w:val="36"/>
    </w:rPr>
  </w:style>
  <w:style w:type="paragraph" w:styleId="Heading3">
    <w:name w:val="heading 3"/>
    <w:basedOn w:val="Normal"/>
    <w:next w:val="Normal"/>
    <w:link w:val="Heading3Char"/>
    <w:uiPriority w:val="9"/>
    <w:unhideWhenUsed/>
    <w:qFormat/>
    <w:rsid w:val="00EC0BAC"/>
    <w:pPr>
      <w:keepNext/>
      <w:keepLines/>
      <w:spacing w:before="160" w:after="80"/>
      <w:outlineLvl w:val="2"/>
    </w:pPr>
    <w:rPr>
      <w:rFonts w:eastAsiaTheme="majorEastAsia" w:cstheme="minorHAnsi"/>
      <w:color w:val="58227B"/>
      <w:sz w:val="28"/>
      <w:szCs w:val="26"/>
    </w:rPr>
  </w:style>
  <w:style w:type="paragraph" w:styleId="Heading4">
    <w:name w:val="heading 4"/>
    <w:basedOn w:val="Normal"/>
    <w:next w:val="Normal"/>
    <w:link w:val="Heading4Char"/>
    <w:uiPriority w:val="9"/>
    <w:unhideWhenUsed/>
    <w:qFormat/>
    <w:rsid w:val="005F7D2C"/>
    <w:pPr>
      <w:keepNext/>
      <w:keepLines/>
      <w:spacing w:before="80" w:after="40"/>
      <w:outlineLvl w:val="3"/>
    </w:pPr>
    <w:rPr>
      <w:rFonts w:eastAsiaTheme="majorEastAsia" w:cstheme="majorBidi"/>
      <w:b/>
      <w:bCs/>
      <w:color w:val="58227B"/>
    </w:rPr>
  </w:style>
  <w:style w:type="paragraph" w:styleId="Heading5">
    <w:name w:val="heading 5"/>
    <w:basedOn w:val="Normal"/>
    <w:next w:val="Normal"/>
    <w:link w:val="Heading5Char"/>
    <w:uiPriority w:val="9"/>
    <w:semiHidden/>
    <w:unhideWhenUsed/>
    <w:qFormat/>
    <w:rsid w:val="00A5199F"/>
    <w:pPr>
      <w:keepNext/>
      <w:keepLines/>
      <w:spacing w:before="80" w:after="40"/>
      <w:outlineLvl w:val="4"/>
    </w:pPr>
    <w:rPr>
      <w:rFonts w:eastAsiaTheme="majorEastAsia" w:cstheme="majorBidi"/>
      <w:color w:val="331C4E" w:themeColor="accent1" w:themeShade="BF"/>
    </w:rPr>
  </w:style>
  <w:style w:type="paragraph" w:styleId="Heading6">
    <w:name w:val="heading 6"/>
    <w:basedOn w:val="Normal"/>
    <w:next w:val="Normal"/>
    <w:link w:val="Heading6Char"/>
    <w:uiPriority w:val="9"/>
    <w:semiHidden/>
    <w:unhideWhenUsed/>
    <w:qFormat/>
    <w:rsid w:val="00A519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9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9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99F"/>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next w:val="Normal"/>
    <w:autoRedefine/>
    <w:uiPriority w:val="39"/>
    <w:unhideWhenUsed/>
    <w:qFormat/>
    <w:rsid w:val="00273281"/>
    <w:pPr>
      <w:tabs>
        <w:tab w:val="right" w:pos="9396"/>
      </w:tabs>
      <w:spacing w:before="60" w:after="0"/>
    </w:pPr>
    <w:rPr>
      <w:rFonts w:cstheme="minorBidi"/>
      <w:noProof/>
      <w:lang w:eastAsia="ja-JP"/>
    </w:rPr>
  </w:style>
  <w:style w:type="table" w:styleId="Basictable" w:customStyle="1">
    <w:name w:val="Basic table"/>
    <w:basedOn w:val="TableNormal"/>
    <w:uiPriority w:val="99"/>
    <w:rsid w:val="00057F09"/>
    <w:rPr>
      <w:rFonts w:eastAsiaTheme="minorHAnsi"/>
      <w:sz w:val="22"/>
      <w:szCs w:val="22"/>
      <w:lang w:val="en-AU" w:eastAsia="en-US"/>
    </w:rPr>
    <w:tblPr>
      <w:tblBorders>
        <w:bottom w:val="single" w:color="452669" w:themeColor="accent1" w:sz="4" w:space="0"/>
        <w:insideH w:val="single" w:color="452669" w:themeColor="accent1" w:sz="4" w:space="0"/>
      </w:tblBorders>
    </w:tblPr>
    <w:tblStylePr w:type="firstRow">
      <w:rPr>
        <w:rFonts w:asciiTheme="majorHAnsi" w:hAnsiTheme="majorHAnsi"/>
        <w:b/>
        <w:color w:val="FFFFFF" w:themeColor="background1"/>
      </w:rPr>
      <w:tblPr/>
      <w:tcPr>
        <w:shd w:val="clear" w:color="auto" w:fill="452669" w:themeFill="accent1"/>
      </w:tcPr>
    </w:tblStylePr>
    <w:tblStylePr w:type="firstCol">
      <w:pPr>
        <w:jc w:val="center"/>
      </w:pPr>
      <w:rPr>
        <w:rFonts w:asciiTheme="majorHAnsi" w:hAnsiTheme="majorHAnsi"/>
        <w:b/>
        <w:sz w:val="28"/>
      </w:rPr>
    </w:tblStylePr>
  </w:style>
  <w:style w:type="table" w:styleId="ListTable3-Accent1">
    <w:name w:val="List Table 3 Accent 1"/>
    <w:basedOn w:val="TableNormal"/>
    <w:uiPriority w:val="48"/>
    <w:rsid w:val="006D2029"/>
    <w:pPr>
      <w:spacing w:before="60" w:after="60"/>
    </w:pPr>
    <w:rPr>
      <w:rFonts w:eastAsiaTheme="minorHAnsi"/>
      <w:sz w:val="22"/>
      <w:szCs w:val="22"/>
      <w:lang w:val="en-AU" w:eastAsia="en-US"/>
    </w:rPr>
    <w:tblPr>
      <w:tblStyleRowBandSize w:val="1"/>
      <w:tblStyleColBandSize w:val="1"/>
      <w:tblBorders>
        <w:bottom w:val="single" w:color="452669" w:themeColor="accent1" w:sz="4" w:space="0"/>
        <w:insideH w:val="single" w:color="452669" w:themeColor="accent1" w:sz="4" w:space="0"/>
      </w:tblBorders>
    </w:tblPr>
    <w:tblStylePr w:type="firstRow">
      <w:rPr>
        <w:rFonts w:asciiTheme="majorHAnsi" w:hAnsiTheme="majorHAnsi"/>
        <w:b/>
        <w:bCs/>
        <w:color w:val="FFFFFF" w:themeColor="background1"/>
      </w:rPr>
      <w:tblPr/>
      <w:tcPr>
        <w:tcBorders>
          <w:insideH w:val="nil"/>
        </w:tcBorders>
        <w:shd w:val="clear" w:color="auto" w:fill="452669" w:themeFill="accent1"/>
      </w:tcPr>
    </w:tblStylePr>
    <w:tblStylePr w:type="lastRow">
      <w:rPr>
        <w:b/>
        <w:bCs/>
      </w:rPr>
      <w:tblPr/>
      <w:tcPr>
        <w:tcBorders>
          <w:top w:val="double" w:color="452669"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52669" w:themeColor="accent1" w:sz="4" w:space="0"/>
          <w:right w:val="single" w:color="452669" w:themeColor="accent1" w:sz="4" w:space="0"/>
        </w:tcBorders>
      </w:tcPr>
    </w:tblStylePr>
    <w:tblStylePr w:type="band1Horz">
      <w:tblPr/>
      <w:tcPr>
        <w:tcBorders>
          <w:top w:val="single" w:color="452669" w:themeColor="accent1" w:sz="4" w:space="0"/>
          <w:bottom w:val="single" w:color="452669"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52669" w:themeColor="accent1" w:sz="4" w:space="0"/>
          <w:left w:val="nil"/>
        </w:tcBorders>
      </w:tcPr>
    </w:tblStylePr>
    <w:tblStylePr w:type="swCell">
      <w:tblPr/>
      <w:tcPr>
        <w:tcBorders>
          <w:top w:val="double" w:color="452669" w:themeColor="accent1" w:sz="4" w:space="0"/>
          <w:right w:val="nil"/>
        </w:tcBorders>
      </w:tcPr>
    </w:tblStylePr>
  </w:style>
  <w:style w:type="character" w:styleId="Heading1Char" w:customStyle="1">
    <w:name w:val="Heading 1 Char"/>
    <w:basedOn w:val="DefaultParagraphFont"/>
    <w:link w:val="Heading1"/>
    <w:uiPriority w:val="9"/>
    <w:rsid w:val="00CD4744"/>
    <w:rPr>
      <w:rFonts w:ascii="Arial" w:hAnsi="Arial" w:eastAsiaTheme="majorEastAsia" w:cstheme="majorBidi"/>
      <w:b/>
      <w:bCs/>
      <w:color w:val="78226D" w:themeColor="accent4"/>
      <w:sz w:val="56"/>
      <w:szCs w:val="92"/>
      <w:lang w:val="en-AU"/>
    </w:rPr>
  </w:style>
  <w:style w:type="character" w:styleId="Heading2Char" w:customStyle="1">
    <w:name w:val="Heading 2 Char"/>
    <w:basedOn w:val="DefaultParagraphFont"/>
    <w:link w:val="Heading2"/>
    <w:uiPriority w:val="9"/>
    <w:rsid w:val="00DA109C"/>
    <w:rPr>
      <w:rFonts w:eastAsiaTheme="majorEastAsia" w:cstheme="majorBidi"/>
      <w:bCs/>
      <w:color w:val="5F266B"/>
      <w:sz w:val="36"/>
      <w:szCs w:val="36"/>
    </w:rPr>
  </w:style>
  <w:style w:type="character" w:styleId="Heading3Char" w:customStyle="1">
    <w:name w:val="Heading 3 Char"/>
    <w:basedOn w:val="DefaultParagraphFont"/>
    <w:link w:val="Heading3"/>
    <w:uiPriority w:val="9"/>
    <w:rsid w:val="00EC0BAC"/>
    <w:rPr>
      <w:rFonts w:eastAsiaTheme="majorEastAsia" w:cstheme="minorHAnsi"/>
      <w:color w:val="58227B"/>
      <w:sz w:val="28"/>
      <w:szCs w:val="26"/>
    </w:rPr>
  </w:style>
  <w:style w:type="character" w:styleId="Heading4Char" w:customStyle="1">
    <w:name w:val="Heading 4 Char"/>
    <w:basedOn w:val="DefaultParagraphFont"/>
    <w:link w:val="Heading4"/>
    <w:uiPriority w:val="9"/>
    <w:rsid w:val="005F7D2C"/>
    <w:rPr>
      <w:rFonts w:eastAsiaTheme="majorEastAsia" w:cstheme="majorBidi"/>
      <w:b/>
      <w:bCs/>
      <w:color w:val="58227B"/>
    </w:rPr>
  </w:style>
  <w:style w:type="character" w:styleId="Heading5Char" w:customStyle="1">
    <w:name w:val="Heading 5 Char"/>
    <w:basedOn w:val="DefaultParagraphFont"/>
    <w:link w:val="Heading5"/>
    <w:uiPriority w:val="9"/>
    <w:semiHidden/>
    <w:rsid w:val="00A5199F"/>
    <w:rPr>
      <w:rFonts w:eastAsiaTheme="majorEastAsia" w:cstheme="majorBidi"/>
      <w:color w:val="331C4E" w:themeColor="accent1" w:themeShade="BF"/>
    </w:rPr>
  </w:style>
  <w:style w:type="character" w:styleId="Heading6Char" w:customStyle="1">
    <w:name w:val="Heading 6 Char"/>
    <w:basedOn w:val="DefaultParagraphFont"/>
    <w:link w:val="Heading6"/>
    <w:uiPriority w:val="9"/>
    <w:semiHidden/>
    <w:rsid w:val="00A5199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5199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5199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5199F"/>
    <w:rPr>
      <w:rFonts w:eastAsiaTheme="majorEastAsia" w:cstheme="majorBidi"/>
      <w:color w:val="272727" w:themeColor="text1" w:themeTint="D8"/>
    </w:rPr>
  </w:style>
  <w:style w:type="paragraph" w:styleId="Title">
    <w:name w:val="Title"/>
    <w:basedOn w:val="Normal"/>
    <w:next w:val="Normal"/>
    <w:link w:val="TitleChar"/>
    <w:uiPriority w:val="10"/>
    <w:qFormat/>
    <w:rsid w:val="00DA109C"/>
    <w:pPr>
      <w:spacing w:before="11640" w:after="240" w:line="920" w:lineRule="exact"/>
    </w:pPr>
    <w:rPr>
      <w:rFonts w:asciiTheme="majorHAnsi" w:hAnsiTheme="majorHAnsi"/>
      <w:color w:val="FFFFFF" w:themeColor="background1"/>
      <w:spacing w:val="20"/>
      <w:sz w:val="128"/>
      <w:szCs w:val="128"/>
    </w:rPr>
  </w:style>
  <w:style w:type="character" w:styleId="TitleChar" w:customStyle="1">
    <w:name w:val="Title Char"/>
    <w:basedOn w:val="DefaultParagraphFont"/>
    <w:link w:val="Title"/>
    <w:uiPriority w:val="10"/>
    <w:rsid w:val="00DA109C"/>
    <w:rPr>
      <w:rFonts w:asciiTheme="majorHAnsi" w:hAnsiTheme="majorHAnsi" w:cstheme="majorHAnsi"/>
      <w:color w:val="FFFFFF" w:themeColor="background1"/>
      <w:spacing w:val="20"/>
      <w:sz w:val="128"/>
      <w:szCs w:val="128"/>
    </w:rPr>
  </w:style>
  <w:style w:type="paragraph" w:styleId="Subtitle">
    <w:name w:val="Subtitle"/>
    <w:basedOn w:val="Normal"/>
    <w:next w:val="Normal"/>
    <w:link w:val="SubtitleChar"/>
    <w:uiPriority w:val="11"/>
    <w:qFormat/>
    <w:rsid w:val="00A01491"/>
    <w:pPr>
      <w:spacing w:after="240"/>
    </w:pPr>
    <w:rPr>
      <w:color w:val="FFFFFF" w:themeColor="background1"/>
      <w:sz w:val="48"/>
      <w:szCs w:val="48"/>
    </w:rPr>
  </w:style>
  <w:style w:type="character" w:styleId="SubtitleChar" w:customStyle="1">
    <w:name w:val="Subtitle Char"/>
    <w:basedOn w:val="DefaultParagraphFont"/>
    <w:link w:val="Subtitle"/>
    <w:uiPriority w:val="11"/>
    <w:rsid w:val="00A01491"/>
    <w:rPr>
      <w:rFonts w:asciiTheme="majorHAnsi" w:hAnsiTheme="majorHAnsi" w:cstheme="majorHAnsi"/>
      <w:color w:val="FFFFFF" w:themeColor="background1"/>
      <w:sz w:val="48"/>
      <w:szCs w:val="48"/>
    </w:rPr>
  </w:style>
  <w:style w:type="paragraph" w:styleId="Quote">
    <w:name w:val="Quote"/>
    <w:basedOn w:val="Normal"/>
    <w:next w:val="Normal"/>
    <w:link w:val="QuoteChar"/>
    <w:uiPriority w:val="29"/>
    <w:qFormat/>
    <w:rsid w:val="00A5199F"/>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5199F"/>
    <w:rPr>
      <w:i/>
      <w:iCs/>
      <w:color w:val="404040" w:themeColor="text1" w:themeTint="BF"/>
    </w:rPr>
  </w:style>
  <w:style w:type="paragraph" w:styleId="ListParagraph">
    <w:name w:val="List Paragraph"/>
    <w:basedOn w:val="Normal"/>
    <w:uiPriority w:val="34"/>
    <w:qFormat/>
    <w:rsid w:val="00035F70"/>
    <w:pPr>
      <w:numPr>
        <w:numId w:val="5"/>
      </w:numPr>
      <w:tabs>
        <w:tab w:val="left" w:pos="567"/>
        <w:tab w:val="left" w:pos="1134"/>
        <w:tab w:val="left" w:pos="1701"/>
        <w:tab w:val="left" w:pos="2268"/>
      </w:tabs>
      <w:contextualSpacing/>
    </w:pPr>
  </w:style>
  <w:style w:type="character" w:styleId="IntenseEmphasis">
    <w:name w:val="Intense Emphasis"/>
    <w:basedOn w:val="DefaultParagraphFont"/>
    <w:uiPriority w:val="21"/>
    <w:qFormat/>
    <w:rsid w:val="00A5199F"/>
    <w:rPr>
      <w:i/>
      <w:iCs/>
      <w:color w:val="331C4E" w:themeColor="accent1" w:themeShade="BF"/>
    </w:rPr>
  </w:style>
  <w:style w:type="paragraph" w:styleId="IntenseQuote">
    <w:name w:val="Intense Quote"/>
    <w:basedOn w:val="Normal"/>
    <w:next w:val="Normal"/>
    <w:link w:val="IntenseQuoteChar"/>
    <w:uiPriority w:val="30"/>
    <w:qFormat/>
    <w:rsid w:val="00A5199F"/>
    <w:pPr>
      <w:pBdr>
        <w:top w:val="single" w:color="331C4E" w:themeColor="accent1" w:themeShade="BF" w:sz="4" w:space="10"/>
        <w:bottom w:val="single" w:color="331C4E" w:themeColor="accent1" w:themeShade="BF" w:sz="4" w:space="10"/>
      </w:pBdr>
      <w:spacing w:before="360" w:after="360"/>
      <w:ind w:left="864" w:right="864"/>
      <w:jc w:val="center"/>
    </w:pPr>
    <w:rPr>
      <w:i/>
      <w:iCs/>
      <w:color w:val="331C4E" w:themeColor="accent1" w:themeShade="BF"/>
    </w:rPr>
  </w:style>
  <w:style w:type="character" w:styleId="IntenseQuoteChar" w:customStyle="1">
    <w:name w:val="Intense Quote Char"/>
    <w:basedOn w:val="DefaultParagraphFont"/>
    <w:link w:val="IntenseQuote"/>
    <w:uiPriority w:val="30"/>
    <w:rsid w:val="00A5199F"/>
    <w:rPr>
      <w:i/>
      <w:iCs/>
      <w:color w:val="331C4E" w:themeColor="accent1" w:themeShade="BF"/>
    </w:rPr>
  </w:style>
  <w:style w:type="character" w:styleId="IntenseReference">
    <w:name w:val="Intense Reference"/>
    <w:basedOn w:val="DefaultParagraphFont"/>
    <w:uiPriority w:val="32"/>
    <w:qFormat/>
    <w:rsid w:val="00A5199F"/>
    <w:rPr>
      <w:b/>
      <w:bCs/>
      <w:smallCaps/>
      <w:color w:val="331C4E" w:themeColor="accent1" w:themeShade="BF"/>
      <w:spacing w:val="5"/>
    </w:rPr>
  </w:style>
  <w:style w:type="paragraph" w:styleId="Header">
    <w:name w:val="header"/>
    <w:basedOn w:val="Normal"/>
    <w:link w:val="HeaderChar"/>
    <w:uiPriority w:val="99"/>
    <w:unhideWhenUsed/>
    <w:rsid w:val="005F7D2C"/>
    <w:pPr>
      <w:tabs>
        <w:tab w:val="center" w:pos="4513"/>
        <w:tab w:val="right" w:pos="9026"/>
      </w:tabs>
    </w:pPr>
  </w:style>
  <w:style w:type="character" w:styleId="HeaderChar" w:customStyle="1">
    <w:name w:val="Header Char"/>
    <w:basedOn w:val="DefaultParagraphFont"/>
    <w:link w:val="Header"/>
    <w:uiPriority w:val="99"/>
    <w:rsid w:val="005F7D2C"/>
  </w:style>
  <w:style w:type="paragraph" w:styleId="Footer">
    <w:name w:val="footer"/>
    <w:basedOn w:val="Normal"/>
    <w:link w:val="FooterChar"/>
    <w:uiPriority w:val="99"/>
    <w:unhideWhenUsed/>
    <w:qFormat/>
    <w:rsid w:val="005F7D2C"/>
    <w:pPr>
      <w:tabs>
        <w:tab w:val="center" w:pos="4513"/>
        <w:tab w:val="right" w:pos="9026"/>
      </w:tabs>
    </w:pPr>
  </w:style>
  <w:style w:type="character" w:styleId="FooterChar" w:customStyle="1">
    <w:name w:val="Footer Char"/>
    <w:basedOn w:val="DefaultParagraphFont"/>
    <w:link w:val="Footer"/>
    <w:uiPriority w:val="99"/>
    <w:rsid w:val="005F7D2C"/>
  </w:style>
  <w:style w:type="paragraph" w:styleId="Caption">
    <w:name w:val="caption"/>
    <w:basedOn w:val="Normal"/>
    <w:next w:val="Normal"/>
    <w:uiPriority w:val="35"/>
    <w:unhideWhenUsed/>
    <w:qFormat/>
    <w:rsid w:val="00273281"/>
    <w:rPr>
      <w:rFonts w:cstheme="minorHAnsi"/>
      <w:iCs/>
      <w:color w:val="452669" w:themeColor="accent1"/>
    </w:rPr>
  </w:style>
  <w:style w:type="paragraph" w:styleId="TOC2">
    <w:name w:val="toc 2"/>
    <w:basedOn w:val="Normal"/>
    <w:next w:val="Normal"/>
    <w:autoRedefine/>
    <w:uiPriority w:val="39"/>
    <w:unhideWhenUsed/>
    <w:rsid w:val="00273281"/>
    <w:pPr>
      <w:tabs>
        <w:tab w:val="right" w:pos="9396"/>
      </w:tabs>
      <w:spacing w:before="60" w:after="0"/>
      <w:ind w:left="284"/>
    </w:pPr>
    <w:rPr>
      <w:rFonts w:cstheme="minorBidi"/>
      <w:noProof/>
      <w:lang w:eastAsia="ja-JP"/>
    </w:rPr>
  </w:style>
  <w:style w:type="paragraph" w:styleId="TOC3">
    <w:name w:val="toc 3"/>
    <w:basedOn w:val="Normal"/>
    <w:next w:val="Normal"/>
    <w:autoRedefine/>
    <w:uiPriority w:val="39"/>
    <w:unhideWhenUsed/>
    <w:rsid w:val="00273281"/>
    <w:pPr>
      <w:tabs>
        <w:tab w:val="right" w:pos="9396"/>
      </w:tabs>
      <w:spacing w:before="80" w:after="0"/>
      <w:ind w:left="240"/>
    </w:pPr>
    <w:rPr>
      <w:rFonts w:cstheme="minorBidi"/>
      <w:noProof/>
      <w:lang w:eastAsia="ja-JP"/>
    </w:rPr>
  </w:style>
  <w:style w:type="paragraph" w:styleId="TOC4">
    <w:name w:val="toc 4"/>
    <w:basedOn w:val="Normal"/>
    <w:next w:val="Normal"/>
    <w:autoRedefine/>
    <w:uiPriority w:val="39"/>
    <w:unhideWhenUsed/>
    <w:rsid w:val="00027B2F"/>
    <w:pPr>
      <w:spacing w:after="0"/>
      <w:ind w:left="480"/>
    </w:pPr>
    <w:rPr>
      <w:rFonts w:cstheme="minorHAnsi"/>
      <w:sz w:val="20"/>
      <w:szCs w:val="20"/>
    </w:rPr>
  </w:style>
  <w:style w:type="paragraph" w:styleId="TOC5">
    <w:name w:val="toc 5"/>
    <w:basedOn w:val="Normal"/>
    <w:next w:val="Normal"/>
    <w:autoRedefine/>
    <w:uiPriority w:val="39"/>
    <w:unhideWhenUsed/>
    <w:rsid w:val="00027B2F"/>
    <w:pPr>
      <w:spacing w:after="0"/>
      <w:ind w:left="720"/>
    </w:pPr>
    <w:rPr>
      <w:rFonts w:cstheme="minorHAnsi"/>
      <w:sz w:val="20"/>
      <w:szCs w:val="20"/>
    </w:rPr>
  </w:style>
  <w:style w:type="paragraph" w:styleId="TOC6">
    <w:name w:val="toc 6"/>
    <w:basedOn w:val="Normal"/>
    <w:next w:val="Normal"/>
    <w:autoRedefine/>
    <w:uiPriority w:val="39"/>
    <w:unhideWhenUsed/>
    <w:rsid w:val="00027B2F"/>
    <w:pPr>
      <w:spacing w:after="0"/>
      <w:ind w:left="960"/>
    </w:pPr>
    <w:rPr>
      <w:rFonts w:cstheme="minorHAnsi"/>
      <w:sz w:val="20"/>
      <w:szCs w:val="20"/>
    </w:rPr>
  </w:style>
  <w:style w:type="paragraph" w:styleId="TOC7">
    <w:name w:val="toc 7"/>
    <w:basedOn w:val="Normal"/>
    <w:next w:val="Normal"/>
    <w:autoRedefine/>
    <w:uiPriority w:val="39"/>
    <w:unhideWhenUsed/>
    <w:rsid w:val="00027B2F"/>
    <w:pPr>
      <w:spacing w:after="0"/>
      <w:ind w:left="1200"/>
    </w:pPr>
    <w:rPr>
      <w:rFonts w:cstheme="minorHAnsi"/>
      <w:sz w:val="20"/>
      <w:szCs w:val="20"/>
    </w:rPr>
  </w:style>
  <w:style w:type="paragraph" w:styleId="TOC8">
    <w:name w:val="toc 8"/>
    <w:basedOn w:val="Normal"/>
    <w:next w:val="Normal"/>
    <w:autoRedefine/>
    <w:uiPriority w:val="39"/>
    <w:unhideWhenUsed/>
    <w:rsid w:val="00027B2F"/>
    <w:pPr>
      <w:spacing w:after="0"/>
      <w:ind w:left="1440"/>
    </w:pPr>
    <w:rPr>
      <w:rFonts w:cstheme="minorHAnsi"/>
      <w:sz w:val="20"/>
      <w:szCs w:val="20"/>
    </w:rPr>
  </w:style>
  <w:style w:type="paragraph" w:styleId="TOC9">
    <w:name w:val="toc 9"/>
    <w:basedOn w:val="Normal"/>
    <w:next w:val="Normal"/>
    <w:autoRedefine/>
    <w:uiPriority w:val="39"/>
    <w:unhideWhenUsed/>
    <w:rsid w:val="00027B2F"/>
    <w:pPr>
      <w:spacing w:after="0"/>
      <w:ind w:left="1680"/>
    </w:pPr>
    <w:rPr>
      <w:rFonts w:cstheme="minorHAnsi"/>
      <w:sz w:val="20"/>
      <w:szCs w:val="20"/>
    </w:rPr>
  </w:style>
  <w:style w:type="character" w:styleId="Hyperlink">
    <w:name w:val="Hyperlink"/>
    <w:basedOn w:val="DefaultParagraphFont"/>
    <w:uiPriority w:val="99"/>
    <w:unhideWhenUsed/>
    <w:rsid w:val="00027B2F"/>
    <w:rPr>
      <w:color w:val="78226D" w:themeColor="hyperlink"/>
      <w:u w:val="single"/>
    </w:rPr>
  </w:style>
  <w:style w:type="paragraph" w:styleId="TOCHeading">
    <w:name w:val="TOC Heading"/>
    <w:next w:val="Normal"/>
    <w:uiPriority w:val="39"/>
    <w:unhideWhenUsed/>
    <w:qFormat/>
    <w:rsid w:val="008F6CDE"/>
    <w:rPr>
      <w:rFonts w:ascii="Arial" w:hAnsi="Arial" w:eastAsiaTheme="majorEastAsia" w:cstheme="majorBidi"/>
      <w:b/>
      <w:bCs/>
      <w:color w:val="78226D" w:themeColor="accent4"/>
      <w:sz w:val="72"/>
      <w:szCs w:val="92"/>
    </w:rPr>
  </w:style>
  <w:style w:type="paragraph" w:styleId="List2">
    <w:name w:val="List 2"/>
    <w:basedOn w:val="Normal"/>
    <w:uiPriority w:val="99"/>
    <w:semiHidden/>
    <w:unhideWhenUsed/>
    <w:rsid w:val="00071FC1"/>
    <w:pPr>
      <w:ind w:left="566" w:hanging="283"/>
      <w:contextualSpacing/>
    </w:pPr>
  </w:style>
  <w:style w:type="character" w:styleId="PageNumber">
    <w:name w:val="page number"/>
    <w:basedOn w:val="DefaultParagraphFont"/>
    <w:uiPriority w:val="99"/>
    <w:semiHidden/>
    <w:unhideWhenUsed/>
    <w:rsid w:val="009E783E"/>
  </w:style>
  <w:style w:type="table" w:styleId="TableGrid">
    <w:name w:val="Table Grid"/>
    <w:basedOn w:val="TableNormal"/>
    <w:uiPriority w:val="39"/>
    <w:rsid w:val="00DD4801"/>
    <w:rPr>
      <w:rFonts w:eastAsiaTheme="minorHAnsi"/>
      <w:sz w:val="22"/>
      <w:szCs w:val="22"/>
      <w:lang w:val="en-AU" w:eastAsia="en-US"/>
    </w:rPr>
    <w:tblPr>
      <w:tblBorders>
        <w:top w:val="single" w:color="78226D" w:themeColor="accent4" w:sz="4" w:space="0"/>
        <w:left w:val="single" w:color="78226D" w:themeColor="accent4" w:sz="4" w:space="0"/>
        <w:bottom w:val="single" w:color="78226D" w:themeColor="accent4" w:sz="4" w:space="0"/>
        <w:right w:val="single" w:color="78226D" w:themeColor="accent4" w:sz="4" w:space="0"/>
        <w:insideH w:val="single" w:color="78226D" w:themeColor="accent4" w:sz="4" w:space="0"/>
        <w:insideV w:val="single" w:color="78226D" w:themeColor="accent4" w:sz="4" w:space="0"/>
      </w:tblBorders>
    </w:tblPr>
    <w:tcPr>
      <w:shd w:val="clear" w:color="auto" w:fill="F2F2F2" w:themeFill="background1" w:themeFillShade="F2"/>
    </w:tcPr>
    <w:tblStylePr w:type="firstCol">
      <w:rPr>
        <w:rFonts w:asciiTheme="minorHAnsi" w:hAnsiTheme="minorHAnsi"/>
        <w:color w:val="FFFFFF" w:themeColor="background1"/>
        <w:sz w:val="24"/>
      </w:rPr>
      <w:tblPr/>
      <w:tcPr>
        <w:tcBorders>
          <w:top w:val="nil"/>
          <w:left w:val="single" w:color="FFFFFF" w:themeColor="background1" w:sz="4" w:space="0"/>
          <w:bottom w:val="nil"/>
          <w:right w:val="single" w:color="FFFFFF" w:themeColor="background1" w:sz="4" w:space="0"/>
          <w:insideH w:val="single" w:color="FFFFFF" w:themeColor="background1" w:sz="4" w:space="0"/>
          <w:insideV w:val="single" w:color="FFFFFF" w:themeColor="background1" w:sz="4" w:space="0"/>
        </w:tcBorders>
        <w:shd w:val="clear" w:color="auto" w:fill="78226D" w:themeFill="accent4"/>
      </w:tcPr>
    </w:tblStylePr>
  </w:style>
  <w:style w:type="paragraph" w:styleId="NoSpacing">
    <w:name w:val="No Spacing"/>
    <w:uiPriority w:val="1"/>
    <w:qFormat/>
    <w:rsid w:val="00491B61"/>
    <w:rPr>
      <w:rFonts w:eastAsiaTheme="minorHAnsi"/>
      <w:sz w:val="22"/>
      <w:szCs w:val="22"/>
      <w:lang w:val="en-AU" w:eastAsia="en-US"/>
    </w:rPr>
  </w:style>
  <w:style w:type="character" w:styleId="UnresolvedMention">
    <w:name w:val="Unresolved Mention"/>
    <w:basedOn w:val="DefaultParagraphFont"/>
    <w:uiPriority w:val="99"/>
    <w:semiHidden/>
    <w:unhideWhenUsed/>
    <w:rsid w:val="00E1312B"/>
    <w:rPr>
      <w:color w:val="605E5C"/>
      <w:shd w:val="clear" w:color="auto" w:fill="E1DFDD"/>
    </w:rPr>
  </w:style>
  <w:style w:type="character" w:styleId="FollowedHyperlink">
    <w:name w:val="FollowedHyperlink"/>
    <w:basedOn w:val="DefaultParagraphFont"/>
    <w:uiPriority w:val="99"/>
    <w:semiHidden/>
    <w:unhideWhenUsed/>
    <w:rsid w:val="00E1312B"/>
    <w:rPr>
      <w:color w:val="96607D" w:themeColor="followedHyperlink"/>
      <w:u w:val="single"/>
    </w:rPr>
  </w:style>
  <w:style w:type="paragraph" w:styleId="breakoutbox" w:customStyle="1">
    <w:name w:val="break out box"/>
    <w:basedOn w:val="Normal"/>
    <w:qFormat/>
    <w:rsid w:val="003B3226"/>
    <w:pPr>
      <w:pBdr>
        <w:top w:val="single" w:color="F3E9F3" w:themeColor="accent3" w:themeTint="33" w:sz="48" w:space="3"/>
        <w:left w:val="single" w:color="F3E9F3" w:themeColor="accent3" w:themeTint="33" w:sz="48" w:space="4"/>
        <w:bottom w:val="single" w:color="F3E9F3" w:themeColor="accent3" w:themeTint="33" w:sz="48" w:space="10"/>
        <w:right w:val="single" w:color="F3E9F3" w:themeColor="accent3" w:themeTint="33" w:sz="48" w:space="4"/>
      </w:pBdr>
      <w:shd w:val="clear" w:color="auto" w:fill="F3E9F3" w:themeFill="accent3" w:themeFillTint="33"/>
      <w:spacing w:before="320"/>
      <w:ind w:left="227" w:right="227"/>
    </w:pPr>
    <w:rPr>
      <w:bCs/>
      <w:color w:val="452669" w:themeColor="accent1"/>
      <w:sz w:val="28"/>
    </w:rPr>
  </w:style>
  <w:style w:type="paragraph" w:styleId="Intro" w:customStyle="1">
    <w:name w:val="Intro"/>
    <w:basedOn w:val="Normal"/>
    <w:qFormat/>
    <w:rsid w:val="00F815A8"/>
    <w:rPr>
      <w:color w:val="452669" w:themeColor="accent1"/>
      <w:sz w:val="28"/>
      <w:szCs w:val="28"/>
      <w:lang w:val="en-US"/>
    </w:rPr>
  </w:style>
  <w:style w:type="paragraph" w:styleId="ListNumber">
    <w:name w:val="List Number"/>
    <w:basedOn w:val="ListParagraph"/>
    <w:uiPriority w:val="99"/>
    <w:unhideWhenUsed/>
    <w:rsid w:val="003B3226"/>
    <w:pPr>
      <w:numPr>
        <w:numId w:val="7"/>
      </w:numPr>
      <w:tabs>
        <w:tab w:val="clear" w:pos="567"/>
        <w:tab w:val="clear" w:pos="1134"/>
        <w:tab w:val="clear" w:pos="1701"/>
        <w:tab w:val="clear" w:pos="2268"/>
      </w:tabs>
      <w:contextualSpacing w:val="0"/>
    </w:pPr>
    <w:rPr>
      <w:lang w:val="en-US"/>
    </w:rPr>
  </w:style>
  <w:style w:type="paragraph" w:styleId="Body" w:customStyle="1">
    <w:name w:val="Body"/>
    <w:basedOn w:val="Normal"/>
    <w:uiPriority w:val="99"/>
    <w:rsid w:val="00637E5A"/>
    <w:pPr>
      <w:suppressAutoHyphens/>
      <w:autoSpaceDE w:val="0"/>
      <w:autoSpaceDN w:val="0"/>
      <w:adjustRightInd w:val="0"/>
      <w:spacing w:after="113" w:line="288" w:lineRule="auto"/>
      <w:textAlignment w:val="center"/>
    </w:pPr>
    <w:rPr>
      <w:rFonts w:ascii="Calibri Light" w:hAnsi="Calibri Light" w:cs="Calibri Light"/>
      <w:color w:val="000000"/>
      <w:kern w:val="0"/>
      <w:lang w:val="en-US"/>
    </w:rPr>
  </w:style>
  <w:style w:type="character" w:styleId="italics" w:customStyle="1">
    <w:name w:val="italics"/>
    <w:uiPriority w:val="99"/>
    <w:rsid w:val="00637E5A"/>
  </w:style>
  <w:style w:type="paragraph" w:styleId="FigureTitle" w:customStyle="1">
    <w:name w:val="Figure Title"/>
    <w:basedOn w:val="Normal"/>
    <w:next w:val="Normal"/>
    <w:qFormat/>
    <w:rsid w:val="008754C2"/>
    <w:rPr>
      <w:rFonts w:eastAsia="Times New Roman" w:cs="Arial"/>
      <w:b/>
      <w:bCs/>
      <w:iCs/>
      <w:color w:val="000000" w:themeColor="text1"/>
      <w:kern w:val="0"/>
      <w:sz w:val="22"/>
      <w:szCs w:val="22"/>
      <w:lang w:eastAsia="en-US"/>
      <w14:ligatures w14:val="none"/>
    </w:rPr>
  </w:style>
  <w:style w:type="paragraph" w:styleId="Tablelistnumber" w:customStyle="1">
    <w:name w:val="Table list number"/>
    <w:basedOn w:val="Normal"/>
    <w:qFormat/>
    <w:rsid w:val="00B61F34"/>
    <w:pPr>
      <w:numPr>
        <w:numId w:val="18"/>
      </w:numPr>
      <w:spacing w:before="60" w:after="60"/>
    </w:pPr>
    <w:rPr>
      <w:rFonts w:eastAsia="Times New Roman" w:cs="Times New Roman"/>
      <w:bCs/>
      <w:color w:val="000000" w:themeColor="text1"/>
      <w:kern w:val="0"/>
      <w:sz w:val="21"/>
      <w:lang w:eastAsia="en-US"/>
      <w14:ligatures w14:val="none"/>
      <w14:numSpacing w14:val="proportional"/>
    </w:rPr>
  </w:style>
  <w:style w:type="character" w:styleId="Strong">
    <w:name w:val="Strong"/>
    <w:basedOn w:val="DefaultParagraphFont"/>
    <w:uiPriority w:val="22"/>
    <w:qFormat/>
    <w:rsid w:val="00F16FBD"/>
    <w:rPr>
      <w:b/>
      <w:bCs/>
      <w:color w:val="452669" w:themeColor="accent1"/>
    </w:rPr>
  </w:style>
  <w:style w:type="character" w:styleId="Emphasis">
    <w:name w:val="Emphasis"/>
    <w:basedOn w:val="DefaultParagraphFont"/>
    <w:uiPriority w:val="20"/>
    <w:qFormat/>
    <w:rsid w:val="00A01491"/>
    <w:rPr>
      <w:i/>
      <w:iCs/>
    </w:rPr>
  </w:style>
  <w:style w:type="paragraph" w:styleId="Normalbackpage" w:customStyle="1">
    <w:name w:val="Normal (back page)"/>
    <w:basedOn w:val="Normal"/>
    <w:link w:val="NormalbackpageChar"/>
    <w:qFormat/>
    <w:rsid w:val="00F03568"/>
    <w:pPr>
      <w:spacing w:before="13680"/>
      <w:jc w:val="center"/>
    </w:pPr>
    <w:rPr>
      <w:color w:val="FFFFFF" w:themeColor="background1"/>
      <w:sz w:val="44"/>
    </w:rPr>
  </w:style>
  <w:style w:type="character" w:styleId="NormalbackpageChar" w:customStyle="1">
    <w:name w:val="Normal (back page) Char"/>
    <w:basedOn w:val="DefaultParagraphFont"/>
    <w:link w:val="Normalbackpage"/>
    <w:rsid w:val="00F03568"/>
    <w:rPr>
      <w:rFonts w:cstheme="majorHAnsi"/>
      <w:color w:val="FFFFFF" w:themeColor="background1"/>
      <w:sz w:val="44"/>
    </w:rPr>
  </w:style>
  <w:style w:type="paragraph" w:styleId="ListBullet">
    <w:name w:val="List Bullet"/>
    <w:basedOn w:val="ListParagraph"/>
    <w:uiPriority w:val="99"/>
    <w:unhideWhenUsed/>
    <w:rsid w:val="005866F5"/>
    <w:pPr>
      <w:ind w:left="397"/>
    </w:pPr>
  </w:style>
  <w:style w:type="paragraph" w:styleId="Revision">
    <w:name w:val="Revision"/>
    <w:hidden/>
    <w:uiPriority w:val="99"/>
    <w:semiHidden/>
    <w:rsid w:val="00273455"/>
    <w:rPr>
      <w:rFonts w:cstheme="majorHAnsi"/>
    </w:rPr>
  </w:style>
  <w:style w:type="character" w:styleId="CommentReference">
    <w:name w:val="Comment Reference"/>
    <w:basedOn w:val="DefaultParagraphFont"/>
    <w:uiPriority w:val="99"/>
    <w:semiHidden/>
    <w:unhideWhenUsed/>
    <w:rsid w:val="00986FDE"/>
    <w:rPr>
      <w:sz w:val="16"/>
      <w:szCs w:val="16"/>
    </w:rPr>
  </w:style>
  <w:style w:type="paragraph" w:styleId="CommentText">
    <w:name w:val="Comment Text"/>
    <w:basedOn w:val="Normal"/>
    <w:link w:val="CommentTextChar"/>
    <w:uiPriority w:val="99"/>
    <w:unhideWhenUsed/>
    <w:rsid w:val="00986FDE"/>
    <w:rPr>
      <w:sz w:val="20"/>
      <w:szCs w:val="20"/>
    </w:rPr>
  </w:style>
  <w:style w:type="character" w:styleId="CommentTextChar" w:customStyle="1">
    <w:name w:val="Comment Text Char"/>
    <w:basedOn w:val="DefaultParagraphFont"/>
    <w:link w:val="CommentText"/>
    <w:uiPriority w:val="99"/>
    <w:rsid w:val="00986FDE"/>
    <w:rPr>
      <w:rFonts w:cstheme="majorHAnsi"/>
      <w:sz w:val="20"/>
      <w:szCs w:val="20"/>
    </w:rPr>
  </w:style>
  <w:style w:type="paragraph" w:styleId="CommentSubject">
    <w:name w:val="Comment Subject"/>
    <w:basedOn w:val="CommentText"/>
    <w:next w:val="CommentText"/>
    <w:link w:val="CommentSubjectChar"/>
    <w:uiPriority w:val="99"/>
    <w:semiHidden/>
    <w:unhideWhenUsed/>
    <w:rsid w:val="00986FDE"/>
    <w:rPr>
      <w:b/>
      <w:bCs/>
    </w:rPr>
  </w:style>
  <w:style w:type="character" w:styleId="CommentSubjectChar" w:customStyle="1">
    <w:name w:val="Comment Subject Char"/>
    <w:basedOn w:val="CommentTextChar"/>
    <w:link w:val="CommentSubject"/>
    <w:uiPriority w:val="99"/>
    <w:semiHidden/>
    <w:rsid w:val="00986FDE"/>
    <w:rPr>
      <w:rFonts w:cstheme="majorHAnsi"/>
      <w:b/>
      <w:bCs/>
      <w:sz w:val="20"/>
      <w:szCs w:val="20"/>
    </w:rPr>
  </w:style>
  <w:style w:type="paragraph" w:styleId="Bullet1" w:customStyle="1">
    <w:name w:val="Bullet 1"/>
    <w:basedOn w:val="Normal"/>
    <w:qFormat/>
    <w:rsid w:val="000C3EF5"/>
    <w:pPr>
      <w:numPr>
        <w:numId w:val="29"/>
      </w:numPr>
      <w:suppressAutoHyphens/>
      <w:spacing w:after="60" w:line="280" w:lineRule="atLeast"/>
    </w:pPr>
    <w:rPr>
      <w:rFonts w:eastAsiaTheme="minorHAnsi" w:cstheme="minorBidi"/>
      <w:kern w:val="0"/>
      <w:sz w:val="22"/>
      <w:szCs w:val="22"/>
      <w:lang w:eastAsia="en-US"/>
      <w14:ligatures w14:val="none"/>
    </w:rPr>
  </w:style>
  <w:style w:type="paragraph" w:styleId="Bullet2" w:customStyle="1">
    <w:name w:val="Bullet 2"/>
    <w:basedOn w:val="Bullet1"/>
    <w:qFormat/>
    <w:rsid w:val="000C3EF5"/>
    <w:pPr>
      <w:numPr>
        <w:ilvl w:val="1"/>
      </w:numPr>
    </w:pPr>
  </w:style>
  <w:style w:type="paragraph" w:styleId="Bullet3" w:customStyle="1">
    <w:name w:val="Bullet 3"/>
    <w:basedOn w:val="Bullet2"/>
    <w:qFormat/>
    <w:rsid w:val="000C3EF5"/>
    <w:pPr>
      <w:numPr>
        <w:ilvl w:val="2"/>
      </w:numPr>
    </w:pPr>
  </w:style>
  <w:style w:type="numbering" w:styleId="BulletsList" w:customStyle="1">
    <w:name w:val="Bullets List"/>
    <w:uiPriority w:val="99"/>
    <w:rsid w:val="000C3EF5"/>
    <w:pPr>
      <w:numPr>
        <w:numId w:val="31"/>
      </w:numPr>
    </w:pPr>
  </w:style>
  <w:style w:type="table" w:styleId="GridTable1Light">
    <w:name w:val="Grid Table 1 Light"/>
    <w:basedOn w:val="TableNormal"/>
    <w:uiPriority w:val="46"/>
    <w:rsid w:val="000D40E0"/>
    <w:rPr>
      <w:rFonts w:eastAsiaTheme="minorHAnsi"/>
      <w:kern w:val="0"/>
      <w:sz w:val="22"/>
      <w:szCs w:val="22"/>
      <w:lang w:val="en-AU" w:eastAsia="en-US"/>
      <w14:ligatures w14:val="none"/>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D443DC"/>
    <w:pPr>
      <w:spacing w:before="100" w:beforeAutospacing="1" w:after="100" w:afterAutospacing="1"/>
    </w:pPr>
    <w:rPr>
      <w:rFonts w:ascii="Times New Roman" w:hAnsi="Times New Roman" w:eastAsia="Times New Roman" w:cs="Times New Roman"/>
      <w:kern w:val="0"/>
      <w:lang w:eastAsia="en-AU"/>
      <w14:ligatures w14:val="none"/>
    </w:rPr>
  </w:style>
  <w:style w:type="table" w:styleId="GridTable3-Accent2">
    <w:name w:val="Grid Table 3 Accent 2"/>
    <w:basedOn w:val="TableNormal"/>
    <w:uiPriority w:val="48"/>
    <w:rsid w:val="00E17F43"/>
    <w:rPr>
      <w:rFonts w:ascii="Times New Roman" w:hAnsi="Times New Roman" w:cs="Times New Roman" w:eastAsiaTheme="minorHAnsi"/>
      <w:kern w:val="0"/>
      <w:lang w:val="en-AU" w:eastAsia="en-US"/>
      <w14:ligatures w14:val="none"/>
    </w:rPr>
    <w:tblPr>
      <w:tblStyleRowBandSize w:val="1"/>
      <w:tblStyleColBandSize w:val="1"/>
      <w:tblBorders>
        <w:top w:val="single" w:color="A25AD0" w:themeColor="accent2" w:themeTint="99" w:sz="4" w:space="0"/>
        <w:left w:val="single" w:color="A25AD0" w:themeColor="accent2" w:themeTint="99" w:sz="4" w:space="0"/>
        <w:bottom w:val="single" w:color="A25AD0" w:themeColor="accent2" w:themeTint="99" w:sz="4" w:space="0"/>
        <w:right w:val="single" w:color="A25AD0" w:themeColor="accent2" w:themeTint="99" w:sz="4" w:space="0"/>
        <w:insideH w:val="single" w:color="A25AD0" w:themeColor="accent2" w:themeTint="99" w:sz="4" w:space="0"/>
        <w:insideV w:val="single" w:color="A25AD0" w:themeColor="accent2"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7EF" w:themeFill="accent2" w:themeFillTint="33"/>
      </w:tcPr>
    </w:tblStylePr>
    <w:tblStylePr w:type="band1Horz">
      <w:tblPr/>
      <w:tcPr>
        <w:shd w:val="clear" w:color="auto" w:fill="E0C7EF" w:themeFill="accent2" w:themeFillTint="33"/>
      </w:tcPr>
    </w:tblStylePr>
    <w:tblStylePr w:type="neCell">
      <w:tblPr/>
      <w:tcPr>
        <w:tcBorders>
          <w:bottom w:val="single" w:color="A25AD0" w:themeColor="accent2" w:themeTint="99" w:sz="4" w:space="0"/>
        </w:tcBorders>
      </w:tcPr>
    </w:tblStylePr>
    <w:tblStylePr w:type="nwCell">
      <w:tblPr/>
      <w:tcPr>
        <w:tcBorders>
          <w:bottom w:val="single" w:color="A25AD0" w:themeColor="accent2" w:themeTint="99" w:sz="4" w:space="0"/>
        </w:tcBorders>
      </w:tcPr>
    </w:tblStylePr>
    <w:tblStylePr w:type="seCell">
      <w:tblPr/>
      <w:tcPr>
        <w:tcBorders>
          <w:top w:val="single" w:color="A25AD0" w:themeColor="accent2" w:themeTint="99" w:sz="4" w:space="0"/>
        </w:tcBorders>
      </w:tcPr>
    </w:tblStylePr>
    <w:tblStylePr w:type="swCell">
      <w:tblPr/>
      <w:tcPr>
        <w:tcBorders>
          <w:top w:val="single" w:color="A25AD0" w:themeColor="accent2" w:themeTint="99" w:sz="4" w:space="0"/>
        </w:tcBorders>
      </w:tcPr>
    </w:tblStylePr>
  </w:style>
  <w:style w:type="character" w:styleId="Mention">
    <w:name w:val="Mention"/>
    <w:basedOn w:val="DefaultParagraphFont"/>
    <w:uiPriority w:val="99"/>
    <w:unhideWhenUsed/>
    <w:rsid w:val="00C151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hyperlink" Target="https://www.igac.gov.au/resources/office-inspector-general-aged-care-strategic-framework" TargetMode="External" Id="rId18" /><Relationship Type="http://schemas.openxmlformats.org/officeDocument/2006/relationships/hyperlink" Target="https://www.igac.gov.au/resources/inspector-generals-statement-commitment-national-agreement-closing-gap" TargetMode="External" Id="rId26" /><Relationship Type="http://schemas.openxmlformats.org/officeDocument/2006/relationships/customXml" Target="../customXml/item3.xml" Id="rId3" /><Relationship Type="http://schemas.openxmlformats.org/officeDocument/2006/relationships/hyperlink" Target="https://www.igac.gov.au/resources/inspector-generals-statement-commitment-national-agreement-closing-gap" TargetMode="Externa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6.emf" Id="rId17" /><Relationship Type="http://schemas.openxmlformats.org/officeDocument/2006/relationships/hyperlink" Target="https://www.igac.gov.au/get-involved/engagement" TargetMode="External" Id="rId25" /><Relationship Type="http://schemas.openxmlformats.org/officeDocument/2006/relationships/footer" Target="footer4.xml" Id="rId33" /><Relationship Type="http://schemas.openxmlformats.org/officeDocument/2006/relationships/customXml" Target="../customXml/item2.xml" Id="rId2" /><Relationship Type="http://schemas.openxmlformats.org/officeDocument/2006/relationships/image" Target="media/image5.emf" Id="rId16" /><Relationship Type="http://schemas.openxmlformats.org/officeDocument/2006/relationships/hyperlink" Target="https://www.igac.gov.au/resources/enterprise-agreement-2024-2027-ea" TargetMode="External" Id="rId20" /><Relationship Type="http://schemas.openxmlformats.org/officeDocument/2006/relationships/footer" Target="foot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igac.gov.au/about-us/our-governance/artificial-intelligence-ai-transparency-statement" TargetMode="External" Id="rId24" /><Relationship Type="http://schemas.openxmlformats.org/officeDocument/2006/relationships/image" Target="media/image9.png" Id="rId32"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hyperlink" Target="https://www.igac.gov.au/resources/data-strategy" TargetMode="External" Id="rId23" /><Relationship Type="http://schemas.openxmlformats.org/officeDocument/2006/relationships/header" Target="header2.xml" Id="rId28" /><Relationship Type="http://schemas.openxmlformats.org/officeDocument/2006/relationships/endnotes" Target="endnotes.xml" Id="rId10" /><Relationship Type="http://schemas.openxmlformats.org/officeDocument/2006/relationships/image" Target="media/image7.emf" Id="rId19" /><Relationship Type="http://schemas.openxmlformats.org/officeDocument/2006/relationships/footer" Target="footer3.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igac.gov.au" TargetMode="External" Id="rId14" /><Relationship Type="http://schemas.openxmlformats.org/officeDocument/2006/relationships/image" Target="media/image8.png" Id="rId22" /><Relationship Type="http://schemas.openxmlformats.org/officeDocument/2006/relationships/header" Target="header1.xml" Id="rId27" /><Relationship Type="http://schemas.openxmlformats.org/officeDocument/2006/relationships/footer" Target="footer2.xml" Id="rId30" /><Relationship Type="http://schemas.openxmlformats.org/officeDocument/2006/relationships/theme" Target="theme/theme1.xml" Id="rId35"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AC Theme">
  <a:themeElements>
    <a:clrScheme name="Aged Care">
      <a:dk1>
        <a:srgbClr val="000000"/>
      </a:dk1>
      <a:lt1>
        <a:srgbClr val="FFFFFF"/>
      </a:lt1>
      <a:dk2>
        <a:srgbClr val="0E2841"/>
      </a:dk2>
      <a:lt2>
        <a:srgbClr val="E8E8E8"/>
      </a:lt2>
      <a:accent1>
        <a:srgbClr val="452669"/>
      </a:accent1>
      <a:accent2>
        <a:srgbClr val="59237B"/>
      </a:accent2>
      <a:accent3>
        <a:srgbClr val="C596C3"/>
      </a:accent3>
      <a:accent4>
        <a:srgbClr val="78226D"/>
      </a:accent4>
      <a:accent5>
        <a:srgbClr val="164E9A"/>
      </a:accent5>
      <a:accent6>
        <a:srgbClr val="D84931"/>
      </a:accent6>
      <a:hlink>
        <a:srgbClr val="78226D"/>
      </a:hlink>
      <a:folHlink>
        <a:srgbClr val="96607D"/>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 Theme" id="{D9A8FE7B-DF1D-8548-9DD7-590C6DEC6117}" vid="{05AD54A0-E913-974D-8157-EDDDB6643CA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3c2291-e1b6-47ff-a130-ab60a193957d" xsi:nil="true"/>
    <lcf76f155ced4ddcb4097134ff3c332f xmlns="2198ab08-73ba-47ca-9592-b0be8b99793c">
      <Terms xmlns="http://schemas.microsoft.com/office/infopath/2007/PartnerControls"/>
    </lcf76f155ced4ddcb4097134ff3c332f>
    <Extension xmlns="2198ab08-73ba-47ca-9592-b0be8b99793c" xsi:nil="true"/>
    <cleanup xmlns="2198ab08-73ba-47ca-9592-b0be8b99793c" xsi:nil="true"/>
    <k13f898d429b456c8be16aae8f970c59 xmlns="2198ab08-73ba-47ca-9592-b0be8b99793c">
      <Terms xmlns="http://schemas.microsoft.com/office/infopath/2007/PartnerControls"/>
    </k13f898d429b456c8be16aae8f970c59>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4AC909E31A7740B92FC1F4AA423495" ma:contentTypeVersion="19" ma:contentTypeDescription="Create a new document." ma:contentTypeScope="" ma:versionID="88c54bec611d5656b08f512d0011f548">
  <xsd:schema xmlns:xsd="http://www.w3.org/2001/XMLSchema" xmlns:xs="http://www.w3.org/2001/XMLSchema" xmlns:p="http://schemas.microsoft.com/office/2006/metadata/properties" xmlns:ns2="2198ab08-73ba-47ca-9592-b0be8b99793c" xmlns:ns3="b43c2291-e1b6-47ff-a130-ab60a193957d" targetNamespace="http://schemas.microsoft.com/office/2006/metadata/properties" ma:root="true" ma:fieldsID="5035d1360f76b22a45e84a5c7bc413e9" ns2:_="" ns3:_="">
    <xsd:import namespace="2198ab08-73ba-47ca-9592-b0be8b99793c"/>
    <xsd:import namespace="b43c2291-e1b6-47ff-a130-ab60a19395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Extension"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cleanup" minOccurs="0"/>
                <xsd:element ref="ns2:k13f898d429b456c8be16aae8f970c5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8ab08-73ba-47ca-9592-b0be8b997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Extension" ma:index="11" nillable="true" ma:displayName="Extension" ma:format="Dropdown" ma:internalName="Extension">
      <xsd:simpleType>
        <xsd:restriction base="dms:Text">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leanup" ma:index="24" nillable="true" ma:displayName="clean up" ma:format="Dropdown" ma:internalName="cleanup">
      <xsd:simpleType>
        <xsd:restriction base="dms:Text">
          <xsd:maxLength value="255"/>
        </xsd:restriction>
      </xsd:simpleType>
    </xsd:element>
    <xsd:element name="k13f898d429b456c8be16aae8f970c59" ma:index="26" nillable="true" ma:taxonomy="true" ma:internalName="k13f898d429b456c8be16aae8f970c59" ma:taxonomyFieldName="Metadata" ma:displayName="Metadata" ma:default="" ma:fieldId="{413f898d-429b-456c-8be1-6aae8f970c59}" ma:sspId="89927c38-8944-418e-ac9b-4d6e75543028" ma:termSetId="1d12f4d8-88a8-4c88-8c48-3d8b2e0ee9a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3c2291-e1b6-47ff-a130-ab60a193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d581f37-7343-4c9d-a4e7-b2755210358a}" ma:internalName="TaxCatchAll" ma:showField="CatchAllData" ma:web="b43c2291-e1b6-47ff-a130-ab60a1939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C9A331-634B-984D-A198-7B266D7C373A}">
  <ds:schemaRefs>
    <ds:schemaRef ds:uri="http://schemas.openxmlformats.org/officeDocument/2006/bibliography"/>
  </ds:schemaRefs>
</ds:datastoreItem>
</file>

<file path=customXml/itemProps2.xml><?xml version="1.0" encoding="utf-8"?>
<ds:datastoreItem xmlns:ds="http://schemas.openxmlformats.org/officeDocument/2006/customXml" ds:itemID="{84B01A06-EA46-4168-BA74-3093850F66C0}">
  <ds:schemaRefs>
    <ds:schemaRef ds:uri="http://schemas.microsoft.com/sharepoint/v3/contenttype/forms"/>
  </ds:schemaRefs>
</ds:datastoreItem>
</file>

<file path=customXml/itemProps3.xml><?xml version="1.0" encoding="utf-8"?>
<ds:datastoreItem xmlns:ds="http://schemas.openxmlformats.org/officeDocument/2006/customXml" ds:itemID="{457A639B-F000-45F6-A8EB-A8944E9E5C42}">
  <ds:schemaRefs>
    <ds:schemaRef ds:uri="http://schemas.microsoft.com/office/2006/metadata/properties"/>
    <ds:schemaRef ds:uri="http://schemas.microsoft.com/office/infopath/2007/PartnerControls"/>
    <ds:schemaRef ds:uri="b43c2291-e1b6-47ff-a130-ab60a193957d"/>
    <ds:schemaRef ds:uri="2198ab08-73ba-47ca-9592-b0be8b99793c"/>
  </ds:schemaRefs>
</ds:datastoreItem>
</file>

<file path=customXml/itemProps4.xml><?xml version="1.0" encoding="utf-8"?>
<ds:datastoreItem xmlns:ds="http://schemas.openxmlformats.org/officeDocument/2006/customXml" ds:itemID="{6E71155E-29E8-4EB3-9559-94B56D0A4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8ab08-73ba-47ca-9592-b0be8b99793c"/>
    <ds:schemaRef ds:uri="b43c2291-e1b6-47ff-a130-ab60a193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Office of the Inspector-General of Aged Care – Corporate Plan 2026-27</dc:title>
  <dc:subject>About us</dc:subject>
  <dc:creator>Office of the Inspector-General of Aged Care</dc:creator>
  <keywords>Corporate Plan 2026-27</keywords>
  <dc:description/>
  <lastModifiedBy>LUNNEY, Heather</lastModifiedBy>
  <revision>14</revision>
  <dcterms:created xsi:type="dcterms:W3CDTF">2026-08-03T02:05:00.0000000Z</dcterms:created>
  <dcterms:modified xsi:type="dcterms:W3CDTF">2026-08-17T04:44:52.2002539Z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277c14b0,410b7d1,68c1d08c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7342c2cf,6b9b0f61,72132a8d,35b4768b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2026-02-17T23:53:21Z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3e0bbf1e-1a72-42a4-88b8-31ec84a3d33f</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0x010100094AC909E31A7740B92FC1F4AA423495</vt:lpwstr>
  </property>
  <property fmtid="{D5CDD505-2E9C-101B-9397-08002B2CF9AE}" pid="17" name="MediaServiceImageTags">
    <vt:lpwstr/>
  </property>
  <property fmtid="{D5CDD505-2E9C-101B-9397-08002B2CF9AE}" pid="18" name="docLang">
    <vt:lpwstr>en</vt:lpwstr>
  </property>
  <property fmtid="{D5CDD505-2E9C-101B-9397-08002B2CF9AE}" pid="19" name="QAChecked">
    <vt:bool>true</vt:bool>
  </property>
  <property fmtid="{D5CDD505-2E9C-101B-9397-08002B2CF9AE}" pid="20" name="PersonResponsible">
    <vt:lpwstr/>
  </property>
  <property fmtid="{D5CDD505-2E9C-101B-9397-08002B2CF9AE}" pid="21" name="Policystatus">
    <vt:lpwstr>Draft</vt:lpwstr>
  </property>
  <property fmtid="{D5CDD505-2E9C-101B-9397-08002B2CF9AE}" pid="22" name="Metadata">
    <vt:lpwstr/>
  </property>
</Properties>
</file>