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1BE" w14:textId="287B4EA1" w:rsidR="7BB7C4EE" w:rsidRDefault="006E5A47" w:rsidP="006E5A47">
      <w:pPr>
        <w:pStyle w:val="Heading1"/>
        <w:spacing w:after="360"/>
        <w:rPr>
          <w:lang w:val="en-US"/>
        </w:rPr>
      </w:pPr>
      <w:r>
        <w:rPr>
          <w:lang w:val="en-US"/>
        </w:rPr>
        <w:t>Approach to the r</w:t>
      </w:r>
      <w:r w:rsidR="008B472F" w:rsidRPr="00B47AA4">
        <w:rPr>
          <w:lang w:val="en-US"/>
        </w:rPr>
        <w:t xml:space="preserve">eview of the </w:t>
      </w:r>
      <w:r w:rsidR="008B472F">
        <w:rPr>
          <w:lang w:val="en-US"/>
        </w:rPr>
        <w:t xml:space="preserve">Commonwealth’s </w:t>
      </w:r>
      <w:r w:rsidR="00430C14">
        <w:rPr>
          <w:lang w:val="en-US"/>
        </w:rPr>
        <w:t>i</w:t>
      </w:r>
      <w:r w:rsidR="008B472F" w:rsidRPr="00B47AA4">
        <w:rPr>
          <w:lang w:val="en-US"/>
        </w:rPr>
        <w:t xml:space="preserve">mplementation of the Aged Care Royal Commission </w:t>
      </w:r>
      <w:r w:rsidR="00553F0B">
        <w:rPr>
          <w:lang w:val="en-US"/>
        </w:rPr>
        <w:t>r</w:t>
      </w:r>
      <w:r w:rsidR="008B472F" w:rsidRPr="00B47AA4">
        <w:rPr>
          <w:lang w:val="en-US"/>
        </w:rPr>
        <w:t>ecommendations</w:t>
      </w:r>
    </w:p>
    <w:p w14:paraId="4FCA6BF5" w14:textId="1D2BAB0F" w:rsidR="005C41A2" w:rsidRDefault="005C41A2" w:rsidP="00823E30">
      <w:pPr>
        <w:pStyle w:val="Heading2"/>
      </w:pPr>
      <w:bookmarkStart w:id="0" w:name="_Toc241058624"/>
      <w:r>
        <w:t xml:space="preserve">Background </w:t>
      </w:r>
      <w:r w:rsidR="00A9391D">
        <w:t>to the review</w:t>
      </w:r>
      <w:bookmarkEnd w:id="0"/>
    </w:p>
    <w:p w14:paraId="733908C5" w14:textId="5906C9A7" w:rsidR="005C41A2" w:rsidRDefault="005C41A2" w:rsidP="005C41A2">
      <w:r>
        <w:t>The Royal Commission into Aged Care Quality and Safety (</w:t>
      </w:r>
      <w:r w:rsidR="001C22EA">
        <w:t xml:space="preserve">Aged Care </w:t>
      </w:r>
      <w:r>
        <w:t>Royal Commission) delivered its final report on 26 February 2021, making a comprehensive set of 148 recommendations to reform Australia's aged care system.</w:t>
      </w:r>
    </w:p>
    <w:p w14:paraId="6E1264C6" w14:textId="6C4AD079" w:rsidR="005C41A2" w:rsidRDefault="005C41A2" w:rsidP="005C41A2">
      <w:r>
        <w:t xml:space="preserve">In May 2021 the Australian Government released its </w:t>
      </w:r>
      <w:hyperlink r:id="rId11" w:history="1">
        <w:r w:rsidRPr="00CE6B09">
          <w:rPr>
            <w:rStyle w:val="Hyperlink"/>
          </w:rPr>
          <w:t xml:space="preserve">response to the </w:t>
        </w:r>
        <w:r w:rsidR="008B6AA8" w:rsidRPr="00CE6B09">
          <w:rPr>
            <w:rStyle w:val="Hyperlink"/>
          </w:rPr>
          <w:t xml:space="preserve">Aged Care </w:t>
        </w:r>
        <w:r w:rsidRPr="00CE6B09">
          <w:rPr>
            <w:rStyle w:val="Hyperlink"/>
          </w:rPr>
          <w:t>Royal Commission</w:t>
        </w:r>
      </w:hyperlink>
      <w:r>
        <w:t>. From 2021-2026</w:t>
      </w:r>
      <w:r w:rsidRPr="00377BBF">
        <w:t xml:space="preserve"> successive Australian Governments </w:t>
      </w:r>
      <w:r>
        <w:t xml:space="preserve">commenced and continued reforms based on the </w:t>
      </w:r>
      <w:r w:rsidR="008B6AA8">
        <w:t>r</w:t>
      </w:r>
      <w:r>
        <w:t xml:space="preserve">oyal </w:t>
      </w:r>
      <w:r w:rsidR="008B6AA8">
        <w:t>c</w:t>
      </w:r>
      <w:r>
        <w:t>ommission’s recommendations</w:t>
      </w:r>
      <w:r w:rsidRPr="00377BBF">
        <w:t xml:space="preserve">. </w:t>
      </w:r>
    </w:p>
    <w:p w14:paraId="52B0FFD5" w14:textId="7E096BBA" w:rsidR="005C41A2" w:rsidRDefault="005C41A2" w:rsidP="005C41A2">
      <w:r>
        <w:t xml:space="preserve">Sections 28 and 29 of the </w:t>
      </w:r>
      <w:r w:rsidRPr="004241DA">
        <w:rPr>
          <w:i/>
          <w:iCs/>
        </w:rPr>
        <w:t>Inspector-General of Aged Care Act 2023</w:t>
      </w:r>
      <w:r>
        <w:t xml:space="preserve"> requires the Inspector-General of Aged Care </w:t>
      </w:r>
      <w:r w:rsidR="00A9391D">
        <w:t xml:space="preserve">(Inspector-General) </w:t>
      </w:r>
      <w:r>
        <w:t xml:space="preserve">to conduct </w:t>
      </w:r>
      <w:r w:rsidR="003A4275">
        <w:t xml:space="preserve">2 </w:t>
      </w:r>
      <w:r>
        <w:t xml:space="preserve">progress reports and </w:t>
      </w:r>
      <w:r w:rsidR="003A4275">
        <w:t xml:space="preserve">2 </w:t>
      </w:r>
      <w:r>
        <w:t xml:space="preserve">reviews of the Commonwealth’s implementation of each recommendation. </w:t>
      </w:r>
    </w:p>
    <w:p w14:paraId="6B536A9D" w14:textId="58245E38" w:rsidR="005C41A2" w:rsidRDefault="005C41A2" w:rsidP="005C41A2">
      <w:r>
        <w:t xml:space="preserve">The Inspector-General completed progress reports in </w:t>
      </w:r>
      <w:hyperlink r:id="rId12" w:history="1">
        <w:r w:rsidRPr="00164CC9">
          <w:rPr>
            <w:rStyle w:val="Hyperlink"/>
          </w:rPr>
          <w:t>June 2024</w:t>
        </w:r>
      </w:hyperlink>
      <w:r>
        <w:t xml:space="preserve"> and </w:t>
      </w:r>
      <w:hyperlink r:id="rId13" w:history="1">
        <w:r w:rsidRPr="00002649">
          <w:rPr>
            <w:rStyle w:val="Hyperlink"/>
          </w:rPr>
          <w:t>June 2025</w:t>
        </w:r>
      </w:hyperlink>
      <w:r>
        <w:t xml:space="preserve">. </w:t>
      </w:r>
      <w:r w:rsidR="00305A1D">
        <w:t>T</w:t>
      </w:r>
      <w:r>
        <w:t xml:space="preserve">he central focus in the </w:t>
      </w:r>
      <w:r w:rsidR="00ED013B">
        <w:t xml:space="preserve">2025 report, </w:t>
      </w:r>
      <w:r w:rsidR="00ED013B" w:rsidRPr="00280072">
        <w:rPr>
          <w:i/>
          <w:iCs/>
        </w:rPr>
        <w:t>Progress Report</w:t>
      </w:r>
      <w:r w:rsidR="00ED013B">
        <w:rPr>
          <w:i/>
          <w:iCs/>
        </w:rPr>
        <w:t>:</w:t>
      </w:r>
      <w:r w:rsidR="00ED013B" w:rsidRPr="00280072">
        <w:rPr>
          <w:i/>
          <w:iCs/>
        </w:rPr>
        <w:t xml:space="preserve"> Implementation of the Recommendations of the Royal Commission into Aged Care Quality and Safety 2025</w:t>
      </w:r>
      <w:r w:rsidR="00ED013B">
        <w:t xml:space="preserve"> (2025 Progress Report)</w:t>
      </w:r>
      <w:r>
        <w:t xml:space="preserve"> was ‘</w:t>
      </w:r>
      <w:r w:rsidRPr="00DF78EA">
        <w:t>whether collective government reforms are delivering the transformational, whole-of-system change called for by the Royal Commission</w:t>
      </w:r>
      <w:r>
        <w:t>’</w:t>
      </w:r>
      <w:r w:rsidRPr="00DF78EA">
        <w:t>.</w:t>
      </w:r>
      <w:r>
        <w:rPr>
          <w:rStyle w:val="FootnoteReference"/>
        </w:rPr>
        <w:footnoteReference w:id="2"/>
      </w:r>
      <w:r>
        <w:t xml:space="preserve">  The Inspector General found that, as </w:t>
      </w:r>
      <w:proofErr w:type="gramStart"/>
      <w:r>
        <w:t>at</w:t>
      </w:r>
      <w:proofErr w:type="gramEnd"/>
      <w:r>
        <w:t xml:space="preserve"> 1 January 2025, the government had made many worthwhile reforms but that it had not achieved transformative change</w:t>
      </w:r>
      <w:r w:rsidR="00C8686E">
        <w:t>.</w:t>
      </w:r>
      <w:r w:rsidR="00EC2131">
        <w:rPr>
          <w:rStyle w:val="FootnoteReference"/>
        </w:rPr>
        <w:footnoteReference w:id="3"/>
      </w:r>
    </w:p>
    <w:p w14:paraId="50D7F57E" w14:textId="3F1BFF0D" w:rsidR="005C41A2" w:rsidRPr="00B35DA0" w:rsidRDefault="005C41A2" w:rsidP="005C41A2">
      <w:r>
        <w:t xml:space="preserve">Since the 2025 Progress Report, the new </w:t>
      </w:r>
      <w:r>
        <w:rPr>
          <w:i/>
          <w:iCs/>
        </w:rPr>
        <w:t>Aged Care Act 2024</w:t>
      </w:r>
      <w:r>
        <w:t xml:space="preserve"> has </w:t>
      </w:r>
      <w:r w:rsidR="00C8686E">
        <w:t>taken</w:t>
      </w:r>
      <w:r>
        <w:t xml:space="preserve"> effect and there have been significant and ongoing reforms of the aged care sector. </w:t>
      </w:r>
    </w:p>
    <w:p w14:paraId="07F1CB01" w14:textId="15F9353C" w:rsidR="005C41A2" w:rsidRDefault="005C41A2" w:rsidP="005C41A2">
      <w:r>
        <w:t xml:space="preserve">This first mandated review </w:t>
      </w:r>
      <w:r w:rsidR="005D5BAE">
        <w:t xml:space="preserve">by the </w:t>
      </w:r>
      <w:r>
        <w:t xml:space="preserve">Inspector-General will be completed on or before 1 November 2027. The second review must be completed </w:t>
      </w:r>
      <w:r w:rsidRPr="00091EDA">
        <w:t>on or before 1 March 2031</w:t>
      </w:r>
      <w:r>
        <w:t xml:space="preserve">. </w:t>
      </w:r>
    </w:p>
    <w:p w14:paraId="4C3FF33F" w14:textId="6E5AF47F" w:rsidR="00695EC8" w:rsidRDefault="00695EC8" w:rsidP="00823E30">
      <w:pPr>
        <w:pStyle w:val="Heading3"/>
      </w:pPr>
      <w:bookmarkStart w:id="1" w:name="_Toc241058625"/>
      <w:r>
        <w:t xml:space="preserve">Developing </w:t>
      </w:r>
      <w:r w:rsidR="003D3CCD">
        <w:t>the</w:t>
      </w:r>
      <w:r>
        <w:t xml:space="preserve"> approach</w:t>
      </w:r>
      <w:r w:rsidR="003D3CCD">
        <w:t xml:space="preserve"> to the review</w:t>
      </w:r>
      <w:bookmarkEnd w:id="1"/>
    </w:p>
    <w:p w14:paraId="62058BE0" w14:textId="0906AF6C" w:rsidR="005C41A2" w:rsidRDefault="005C41A2" w:rsidP="005C41A2">
      <w:r>
        <w:t xml:space="preserve">In developing the approach to this review, the Office of the Inspector-General </w:t>
      </w:r>
      <w:r w:rsidR="009E0E76">
        <w:t xml:space="preserve">of Aged Care (the Office) </w:t>
      </w:r>
      <w:r>
        <w:t xml:space="preserve">worked with the Australian Centre for Evaluation </w:t>
      </w:r>
      <w:r w:rsidR="008B5F9F">
        <w:t xml:space="preserve">(ACE) </w:t>
      </w:r>
      <w:r>
        <w:t xml:space="preserve">within the </w:t>
      </w:r>
      <w:r w:rsidR="00C84A38">
        <w:t xml:space="preserve">Department of the </w:t>
      </w:r>
      <w:r>
        <w:t xml:space="preserve">Treasury. The </w:t>
      </w:r>
      <w:r w:rsidR="00553F0B">
        <w:t xml:space="preserve">ACE </w:t>
      </w:r>
      <w:r>
        <w:t xml:space="preserve">provided </w:t>
      </w:r>
      <w:r>
        <w:rPr>
          <w:bCs/>
        </w:rPr>
        <w:t xml:space="preserve">analytical foundations and practical outputs to inform </w:t>
      </w:r>
      <w:r>
        <w:t xml:space="preserve">the Inspector-General’s approach to this review.  </w:t>
      </w:r>
    </w:p>
    <w:p w14:paraId="7AD013AE" w14:textId="0BE06B34" w:rsidR="005C41A2" w:rsidRPr="005C41A2" w:rsidRDefault="00795DFE" w:rsidP="00823E30">
      <w:pPr>
        <w:pStyle w:val="Heading2"/>
      </w:pPr>
      <w:bookmarkStart w:id="2" w:name="_Toc241058626"/>
      <w:r>
        <w:lastRenderedPageBreak/>
        <w:t>Approach to the review</w:t>
      </w:r>
      <w:bookmarkEnd w:id="2"/>
    </w:p>
    <w:p w14:paraId="2E907CC2" w14:textId="272D2B11" w:rsidR="0078387D" w:rsidRDefault="0078387D" w:rsidP="0078387D">
      <w:pPr>
        <w:rPr>
          <w:b/>
          <w:bCs/>
          <w:color w:val="000000"/>
          <w:szCs w:val="22"/>
        </w:rPr>
      </w:pPr>
      <w:r>
        <w:rPr>
          <w:color w:val="000000"/>
          <w:szCs w:val="22"/>
        </w:rPr>
        <w:t xml:space="preserve">This review will </w:t>
      </w:r>
      <w:r w:rsidRPr="00C70707">
        <w:rPr>
          <w:color w:val="000000"/>
          <w:szCs w:val="22"/>
        </w:rPr>
        <w:t xml:space="preserve">carefully appraise whether the measures and actions taken by the </w:t>
      </w:r>
      <w:r w:rsidR="00AB5572">
        <w:rPr>
          <w:color w:val="000000"/>
          <w:szCs w:val="22"/>
        </w:rPr>
        <w:t>Australian Government</w:t>
      </w:r>
      <w:r w:rsidR="00AB5572" w:rsidRPr="00C70707">
        <w:rPr>
          <w:color w:val="000000"/>
          <w:szCs w:val="22"/>
        </w:rPr>
        <w:t xml:space="preserve"> </w:t>
      </w:r>
      <w:r w:rsidRPr="00C70707">
        <w:rPr>
          <w:color w:val="000000"/>
          <w:szCs w:val="22"/>
        </w:rPr>
        <w:t xml:space="preserve">in implementing the </w:t>
      </w:r>
      <w:r w:rsidR="00AB5572">
        <w:rPr>
          <w:color w:val="000000"/>
          <w:szCs w:val="22"/>
        </w:rPr>
        <w:t xml:space="preserve">Aged Care </w:t>
      </w:r>
      <w:r w:rsidRPr="00C70707">
        <w:rPr>
          <w:color w:val="000000"/>
          <w:szCs w:val="22"/>
        </w:rPr>
        <w:t xml:space="preserve">Royal Commission recommendations have </w:t>
      </w:r>
      <w:r w:rsidR="00305A1D">
        <w:rPr>
          <w:color w:val="000000"/>
          <w:szCs w:val="22"/>
        </w:rPr>
        <w:t xml:space="preserve">met, </w:t>
      </w:r>
      <w:r w:rsidRPr="00C70707">
        <w:rPr>
          <w:color w:val="000000"/>
          <w:szCs w:val="22"/>
        </w:rPr>
        <w:t>or are likely to achieve</w:t>
      </w:r>
      <w:r w:rsidR="00305A1D">
        <w:rPr>
          <w:color w:val="000000"/>
          <w:szCs w:val="22"/>
        </w:rPr>
        <w:t>,</w:t>
      </w:r>
      <w:r w:rsidRPr="00C70707">
        <w:rPr>
          <w:color w:val="000000"/>
          <w:szCs w:val="22"/>
        </w:rPr>
        <w:t xml:space="preserve"> the intended outcomes of the </w:t>
      </w:r>
      <w:r w:rsidR="00C918FB">
        <w:rPr>
          <w:color w:val="000000"/>
          <w:szCs w:val="22"/>
        </w:rPr>
        <w:t>r</w:t>
      </w:r>
      <w:r w:rsidRPr="00C70707">
        <w:rPr>
          <w:color w:val="000000"/>
          <w:szCs w:val="22"/>
        </w:rPr>
        <w:t xml:space="preserve">oyal </w:t>
      </w:r>
      <w:r w:rsidR="00C918FB">
        <w:rPr>
          <w:color w:val="000000"/>
          <w:szCs w:val="22"/>
        </w:rPr>
        <w:t>c</w:t>
      </w:r>
      <w:r w:rsidRPr="00C70707">
        <w:rPr>
          <w:color w:val="000000"/>
          <w:szCs w:val="22"/>
        </w:rPr>
        <w:t>ommission</w:t>
      </w:r>
      <w:r w:rsidR="009E689C">
        <w:rPr>
          <w:color w:val="000000"/>
          <w:szCs w:val="22"/>
        </w:rPr>
        <w:t>.</w:t>
      </w:r>
    </w:p>
    <w:p w14:paraId="780EE0C9" w14:textId="6450920D" w:rsidR="0078387D" w:rsidRDefault="0078387D" w:rsidP="0078387D">
      <w:pPr>
        <w:rPr>
          <w:color w:val="000000"/>
          <w:szCs w:val="22"/>
        </w:rPr>
      </w:pPr>
      <w:r>
        <w:rPr>
          <w:color w:val="000000"/>
          <w:szCs w:val="22"/>
        </w:rPr>
        <w:t>To assist in answering this question</w:t>
      </w:r>
      <w:r w:rsidR="00E8682C">
        <w:rPr>
          <w:color w:val="000000"/>
          <w:szCs w:val="22"/>
        </w:rPr>
        <w:t>,</w:t>
      </w:r>
      <w:r>
        <w:rPr>
          <w:color w:val="000000"/>
          <w:szCs w:val="22"/>
        </w:rPr>
        <w:t xml:space="preserve"> the review will take a </w:t>
      </w:r>
      <w:r w:rsidR="00E8682C">
        <w:rPr>
          <w:color w:val="000000"/>
          <w:szCs w:val="22"/>
        </w:rPr>
        <w:t>3</w:t>
      </w:r>
      <w:r>
        <w:rPr>
          <w:color w:val="000000"/>
          <w:szCs w:val="22"/>
        </w:rPr>
        <w:t xml:space="preserve">-tiered approach, </w:t>
      </w:r>
      <w:r w:rsidR="00D26C50">
        <w:rPr>
          <w:color w:val="000000"/>
          <w:szCs w:val="22"/>
        </w:rPr>
        <w:t>assessing</w:t>
      </w:r>
      <w:r>
        <w:rPr>
          <w:color w:val="000000"/>
          <w:szCs w:val="22"/>
        </w:rPr>
        <w:t xml:space="preserve">: </w:t>
      </w:r>
    </w:p>
    <w:p w14:paraId="6DD275B4" w14:textId="01FFF49D" w:rsidR="0078387D" w:rsidRDefault="00E8682C" w:rsidP="002D4470">
      <w:pPr>
        <w:pStyle w:val="ListParagraph"/>
        <w:numPr>
          <w:ilvl w:val="0"/>
          <w:numId w:val="37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the </w:t>
      </w:r>
      <w:r w:rsidR="0078387D">
        <w:rPr>
          <w:color w:val="000000"/>
          <w:szCs w:val="22"/>
        </w:rPr>
        <w:t>system as a whole</w:t>
      </w:r>
    </w:p>
    <w:p w14:paraId="3DFA6FCE" w14:textId="5357D020" w:rsidR="0078387D" w:rsidRDefault="00E8682C" w:rsidP="002D4470">
      <w:pPr>
        <w:pStyle w:val="ListParagraph"/>
        <w:numPr>
          <w:ilvl w:val="0"/>
          <w:numId w:val="37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key </w:t>
      </w:r>
      <w:r w:rsidR="0078387D">
        <w:rPr>
          <w:color w:val="000000"/>
          <w:szCs w:val="22"/>
        </w:rPr>
        <w:t xml:space="preserve">strategic outcome areas of the </w:t>
      </w:r>
      <w:r>
        <w:rPr>
          <w:color w:val="000000"/>
          <w:szCs w:val="22"/>
        </w:rPr>
        <w:t xml:space="preserve">Aged Care </w:t>
      </w:r>
      <w:r w:rsidR="0078387D">
        <w:rPr>
          <w:color w:val="000000"/>
          <w:szCs w:val="22"/>
        </w:rPr>
        <w:t>Royal Commission</w:t>
      </w:r>
    </w:p>
    <w:p w14:paraId="4B9FFD97" w14:textId="0306A4BB" w:rsidR="0078387D" w:rsidRDefault="00770693" w:rsidP="002D4470">
      <w:pPr>
        <w:pStyle w:val="ListParagraph"/>
        <w:numPr>
          <w:ilvl w:val="0"/>
          <w:numId w:val="37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the implementation of </w:t>
      </w:r>
      <w:r w:rsidR="00E8682C">
        <w:rPr>
          <w:color w:val="000000"/>
          <w:szCs w:val="22"/>
        </w:rPr>
        <w:t xml:space="preserve">each royal commission </w:t>
      </w:r>
      <w:r w:rsidR="0078387D">
        <w:rPr>
          <w:color w:val="000000"/>
          <w:szCs w:val="22"/>
        </w:rPr>
        <w:t>recommendation</w:t>
      </w:r>
      <w:r w:rsidR="00E8682C">
        <w:rPr>
          <w:color w:val="000000"/>
          <w:szCs w:val="22"/>
        </w:rPr>
        <w:t>.</w:t>
      </w:r>
    </w:p>
    <w:p w14:paraId="0994DA89" w14:textId="39611665" w:rsidR="0078387D" w:rsidRDefault="006A77C4" w:rsidP="00DF2DDB">
      <w:pPr>
        <w:pStyle w:val="Heading3"/>
        <w:numPr>
          <w:ilvl w:val="0"/>
          <w:numId w:val="38"/>
        </w:numPr>
      </w:pPr>
      <w:bookmarkStart w:id="3" w:name="_Toc241058627"/>
      <w:r>
        <w:t>System</w:t>
      </w:r>
      <w:r w:rsidR="000A5895">
        <w:t>-</w:t>
      </w:r>
      <w:r>
        <w:t>wide questions</w:t>
      </w:r>
      <w:bookmarkEnd w:id="3"/>
      <w:r>
        <w:t xml:space="preserve"> </w:t>
      </w:r>
    </w:p>
    <w:p w14:paraId="0478A5FA" w14:textId="5CA4EB2B" w:rsidR="006A77C4" w:rsidRDefault="000A5895" w:rsidP="006A77C4">
      <w:pPr>
        <w:rPr>
          <w:color w:val="000000"/>
          <w:szCs w:val="22"/>
        </w:rPr>
      </w:pPr>
      <w:r>
        <w:rPr>
          <w:color w:val="000000"/>
          <w:szCs w:val="22"/>
        </w:rPr>
        <w:t>T</w:t>
      </w:r>
      <w:r w:rsidR="006A77C4">
        <w:rPr>
          <w:color w:val="000000"/>
          <w:szCs w:val="22"/>
        </w:rPr>
        <w:t xml:space="preserve">he review will </w:t>
      </w:r>
      <w:r w:rsidR="006A77C4" w:rsidRPr="009F0759">
        <w:rPr>
          <w:color w:val="000000"/>
          <w:szCs w:val="22"/>
        </w:rPr>
        <w:t xml:space="preserve">consider how the aged care system has changed since the </w:t>
      </w:r>
      <w:r>
        <w:rPr>
          <w:color w:val="000000"/>
          <w:szCs w:val="22"/>
        </w:rPr>
        <w:t xml:space="preserve">Aged Care </w:t>
      </w:r>
      <w:r w:rsidR="006A77C4" w:rsidRPr="009F0759">
        <w:rPr>
          <w:color w:val="000000"/>
          <w:szCs w:val="22"/>
        </w:rPr>
        <w:t>Royal Commission</w:t>
      </w:r>
      <w:r w:rsidR="006A77C4" w:rsidRPr="00DD25FB">
        <w:rPr>
          <w:color w:val="000000"/>
          <w:szCs w:val="22"/>
        </w:rPr>
        <w:t>,</w:t>
      </w:r>
      <w:r w:rsidR="006A77C4" w:rsidRPr="00DD25FB">
        <w:rPr>
          <w:b/>
          <w:bCs/>
          <w:color w:val="000000"/>
          <w:szCs w:val="22"/>
        </w:rPr>
        <w:t xml:space="preserve"> </w:t>
      </w:r>
      <w:r w:rsidR="006A77C4" w:rsidRPr="00DD25FB">
        <w:rPr>
          <w:color w:val="000000"/>
          <w:szCs w:val="22"/>
        </w:rPr>
        <w:t>including</w:t>
      </w:r>
      <w:r w:rsidR="006A77C4">
        <w:rPr>
          <w:color w:val="000000"/>
          <w:szCs w:val="22"/>
        </w:rPr>
        <w:t xml:space="preserve"> exploring</w:t>
      </w:r>
      <w:r w:rsidR="006A77C4" w:rsidRPr="00DD25FB">
        <w:rPr>
          <w:color w:val="000000"/>
          <w:szCs w:val="22"/>
        </w:rPr>
        <w:t>:</w:t>
      </w:r>
    </w:p>
    <w:p w14:paraId="23841335" w14:textId="431C26B0" w:rsidR="006A77C4" w:rsidRDefault="006A77C4" w:rsidP="006A77C4">
      <w:pPr>
        <w:pStyle w:val="ListParagraph"/>
        <w:numPr>
          <w:ilvl w:val="0"/>
          <w:numId w:val="23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improve</w:t>
      </w:r>
      <w:r w:rsidR="007E156A">
        <w:rPr>
          <w:color w:val="000000"/>
          <w:szCs w:val="22"/>
        </w:rPr>
        <w:t>ments</w:t>
      </w:r>
      <w:r>
        <w:rPr>
          <w:color w:val="000000"/>
          <w:szCs w:val="22"/>
        </w:rPr>
        <w:t xml:space="preserve"> in the aged care system</w:t>
      </w:r>
    </w:p>
    <w:p w14:paraId="1CE19240" w14:textId="20A03118" w:rsidR="006A77C4" w:rsidRDefault="007E156A" w:rsidP="006A77C4">
      <w:pPr>
        <w:pStyle w:val="ListParagraph"/>
        <w:numPr>
          <w:ilvl w:val="0"/>
          <w:numId w:val="23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what </w:t>
      </w:r>
      <w:r w:rsidR="006A77C4">
        <w:rPr>
          <w:color w:val="000000"/>
          <w:szCs w:val="22"/>
        </w:rPr>
        <w:t xml:space="preserve">has not improved or </w:t>
      </w:r>
      <w:r w:rsidR="009E689C">
        <w:rPr>
          <w:color w:val="000000"/>
          <w:szCs w:val="22"/>
        </w:rPr>
        <w:t>has deteriorated</w:t>
      </w:r>
    </w:p>
    <w:p w14:paraId="14B46B5B" w14:textId="66060135" w:rsidR="006A77C4" w:rsidRDefault="001C2692" w:rsidP="006A77C4">
      <w:pPr>
        <w:pStyle w:val="ListParagraph"/>
        <w:numPr>
          <w:ilvl w:val="0"/>
          <w:numId w:val="23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whether further </w:t>
      </w:r>
      <w:r w:rsidR="009F0BA1">
        <w:rPr>
          <w:color w:val="000000"/>
          <w:szCs w:val="22"/>
        </w:rPr>
        <w:t xml:space="preserve">action is </w:t>
      </w:r>
      <w:r w:rsidR="006A77C4">
        <w:rPr>
          <w:color w:val="000000"/>
          <w:szCs w:val="22"/>
        </w:rPr>
        <w:t xml:space="preserve">required to achieve the intended outcomes of the </w:t>
      </w:r>
      <w:r w:rsidR="007E156A">
        <w:rPr>
          <w:color w:val="000000"/>
          <w:szCs w:val="22"/>
        </w:rPr>
        <w:t xml:space="preserve">Aged Care </w:t>
      </w:r>
      <w:r w:rsidR="006A77C4">
        <w:rPr>
          <w:color w:val="000000"/>
          <w:szCs w:val="22"/>
        </w:rPr>
        <w:t>Royal Commission</w:t>
      </w:r>
      <w:r w:rsidR="007E156A">
        <w:rPr>
          <w:color w:val="000000"/>
          <w:szCs w:val="22"/>
        </w:rPr>
        <w:t>.</w:t>
      </w:r>
    </w:p>
    <w:p w14:paraId="36A318EC" w14:textId="0F8AC098" w:rsidR="006A77C4" w:rsidRPr="002932D6" w:rsidRDefault="006A77C4" w:rsidP="009F0BA1">
      <w:pPr>
        <w:pStyle w:val="Heading3"/>
        <w:numPr>
          <w:ilvl w:val="0"/>
          <w:numId w:val="38"/>
        </w:numPr>
      </w:pPr>
      <w:bookmarkStart w:id="4" w:name="_Toc241058628"/>
      <w:bookmarkStart w:id="5" w:name="_Toc237607562"/>
      <w:r w:rsidRPr="004F4932">
        <w:t xml:space="preserve">Key </w:t>
      </w:r>
      <w:r>
        <w:t>strategic outcome areas</w:t>
      </w:r>
      <w:bookmarkEnd w:id="4"/>
      <w:r w:rsidRPr="00313E7D">
        <w:rPr>
          <w:rFonts w:eastAsiaTheme="minorHAnsi" w:cs="Times New Roman"/>
          <w:color w:val="000000"/>
          <w:sz w:val="22"/>
          <w:szCs w:val="22"/>
        </w:rPr>
        <w:t xml:space="preserve"> </w:t>
      </w:r>
      <w:bookmarkEnd w:id="5"/>
    </w:p>
    <w:p w14:paraId="29FFEF0D" w14:textId="2293BEC7" w:rsidR="006A77C4" w:rsidRDefault="006A77C4" w:rsidP="006A77C4">
      <w:pPr>
        <w:rPr>
          <w:color w:val="000000"/>
          <w:szCs w:val="22"/>
        </w:rPr>
      </w:pPr>
      <w:r>
        <w:rPr>
          <w:color w:val="000000"/>
          <w:szCs w:val="22"/>
        </w:rPr>
        <w:t xml:space="preserve">The Office of the Inspector-General </w:t>
      </w:r>
      <w:r w:rsidR="00D12CF1">
        <w:rPr>
          <w:color w:val="000000"/>
          <w:szCs w:val="22"/>
        </w:rPr>
        <w:t xml:space="preserve">of Aged Care </w:t>
      </w:r>
      <w:r>
        <w:rPr>
          <w:color w:val="000000"/>
          <w:szCs w:val="22"/>
        </w:rPr>
        <w:t>has identified 9 key strategic outcome areas</w:t>
      </w:r>
      <w:r w:rsidR="004F1773">
        <w:rPr>
          <w:color w:val="000000"/>
          <w:szCs w:val="22"/>
        </w:rPr>
        <w:t xml:space="preserve"> that capture the intended outcomes of the Aged Care Royal Commission’s recommendations</w:t>
      </w:r>
      <w:r w:rsidR="00F262B9">
        <w:rPr>
          <w:color w:val="000000"/>
          <w:szCs w:val="22"/>
        </w:rPr>
        <w:t xml:space="preserve"> (see </w:t>
      </w:r>
      <w:r w:rsidR="00F262B9" w:rsidRPr="00B33CE5">
        <w:rPr>
          <w:b/>
          <w:bCs/>
          <w:color w:val="000000"/>
          <w:szCs w:val="22"/>
        </w:rPr>
        <w:t>background paper</w:t>
      </w:r>
      <w:r w:rsidR="00F262B9">
        <w:rPr>
          <w:color w:val="000000"/>
          <w:szCs w:val="22"/>
        </w:rPr>
        <w:t xml:space="preserve"> for more detail)</w:t>
      </w:r>
      <w:r>
        <w:rPr>
          <w:color w:val="000000"/>
          <w:szCs w:val="22"/>
        </w:rPr>
        <w:t>:</w:t>
      </w:r>
    </w:p>
    <w:p w14:paraId="5A828CFA" w14:textId="77777777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>People-centred aged care: a rights-based system</w:t>
      </w:r>
    </w:p>
    <w:p w14:paraId="5D67490E" w14:textId="77777777" w:rsidR="006A77C4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 xml:space="preserve">Leadership and </w:t>
      </w:r>
      <w:r>
        <w:t xml:space="preserve">government </w:t>
      </w:r>
      <w:r w:rsidRPr="00B4207F">
        <w:t>accountability</w:t>
      </w:r>
    </w:p>
    <w:p w14:paraId="5E6A900D" w14:textId="77777777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>
        <w:t>Access and navigation</w:t>
      </w:r>
      <w:r w:rsidRPr="00B4207F">
        <w:t xml:space="preserve"> </w:t>
      </w:r>
    </w:p>
    <w:p w14:paraId="39252721" w14:textId="77777777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>High quality and safe care and support</w:t>
      </w:r>
    </w:p>
    <w:p w14:paraId="615ADFBF" w14:textId="77777777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>An Aboriginal and Torres Strait Islander aged care pathway</w:t>
      </w:r>
    </w:p>
    <w:p w14:paraId="76469C84" w14:textId="77777777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 xml:space="preserve">Equitable aged care  </w:t>
      </w:r>
    </w:p>
    <w:p w14:paraId="0DEF7702" w14:textId="77777777" w:rsidR="006A77C4" w:rsidRDefault="006A77C4" w:rsidP="006A77C4">
      <w:pPr>
        <w:pStyle w:val="ListParagraph"/>
        <w:numPr>
          <w:ilvl w:val="0"/>
          <w:numId w:val="25"/>
        </w:numPr>
        <w:spacing w:before="0" w:after="0"/>
      </w:pPr>
      <w:r>
        <w:t xml:space="preserve">Regulation and provider accountability </w:t>
      </w:r>
    </w:p>
    <w:p w14:paraId="36B52F5D" w14:textId="77777777" w:rsidR="006A77C4" w:rsidRDefault="006A77C4" w:rsidP="006A77C4">
      <w:pPr>
        <w:pStyle w:val="ListParagraph"/>
        <w:numPr>
          <w:ilvl w:val="0"/>
          <w:numId w:val="25"/>
        </w:numPr>
        <w:spacing w:before="0" w:after="0"/>
      </w:pPr>
      <w:r>
        <w:t>Workforce</w:t>
      </w:r>
    </w:p>
    <w:p w14:paraId="5FE6DFFF" w14:textId="0D725D93" w:rsidR="006A77C4" w:rsidRPr="00B4207F" w:rsidRDefault="006A77C4" w:rsidP="006A77C4">
      <w:pPr>
        <w:pStyle w:val="ListParagraph"/>
        <w:numPr>
          <w:ilvl w:val="0"/>
          <w:numId w:val="25"/>
        </w:numPr>
        <w:spacing w:before="0" w:after="0"/>
      </w:pPr>
      <w:r w:rsidRPr="00B4207F">
        <w:t>Sustainable aged care</w:t>
      </w:r>
      <w:r w:rsidR="004F1773">
        <w:t>.</w:t>
      </w:r>
    </w:p>
    <w:p w14:paraId="30BA8394" w14:textId="73970644" w:rsidR="006A77C4" w:rsidRPr="000C63AB" w:rsidRDefault="006A77C4" w:rsidP="00823E30">
      <w:pPr>
        <w:keepNext/>
        <w:rPr>
          <w:color w:val="000000"/>
          <w:szCs w:val="22"/>
        </w:rPr>
      </w:pPr>
      <w:r>
        <w:rPr>
          <w:color w:val="000000"/>
          <w:szCs w:val="22"/>
        </w:rPr>
        <w:t xml:space="preserve">The review will closely examine </w:t>
      </w:r>
      <w:r w:rsidRPr="00DE4E5D">
        <w:rPr>
          <w:color w:val="000000"/>
          <w:szCs w:val="22"/>
        </w:rPr>
        <w:t xml:space="preserve">the measures and actions taken by the </w:t>
      </w:r>
      <w:r w:rsidR="004F1773">
        <w:rPr>
          <w:color w:val="000000"/>
          <w:szCs w:val="22"/>
        </w:rPr>
        <w:t>Australian Government</w:t>
      </w:r>
      <w:r w:rsidR="004F1773" w:rsidRPr="00DE4E5D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>in relation to</w:t>
      </w:r>
      <w:r w:rsidRPr="00DE4E5D">
        <w:rPr>
          <w:color w:val="000000"/>
          <w:szCs w:val="22"/>
        </w:rPr>
        <w:t xml:space="preserve"> these key strategic outcome areas</w:t>
      </w:r>
      <w:r>
        <w:rPr>
          <w:color w:val="000000"/>
          <w:szCs w:val="22"/>
        </w:rPr>
        <w:t xml:space="preserve">. To assist in this task the review will </w:t>
      </w:r>
      <w:r w:rsidR="00DA3515">
        <w:rPr>
          <w:color w:val="000000"/>
          <w:szCs w:val="22"/>
        </w:rPr>
        <w:t>consider</w:t>
      </w:r>
      <w:r>
        <w:rPr>
          <w:color w:val="000000"/>
          <w:szCs w:val="22"/>
        </w:rPr>
        <w:t>:</w:t>
      </w:r>
    </w:p>
    <w:p w14:paraId="7E56A3D9" w14:textId="5995FF5A" w:rsidR="006A77C4" w:rsidRPr="003C2361" w:rsidRDefault="006A77C4" w:rsidP="006A77C4">
      <w:pPr>
        <w:pStyle w:val="ListParagraph"/>
        <w:numPr>
          <w:ilvl w:val="0"/>
          <w:numId w:val="24"/>
        </w:numPr>
        <w:spacing w:before="0" w:after="160" w:line="259" w:lineRule="auto"/>
        <w:rPr>
          <w:color w:val="000000"/>
          <w:szCs w:val="22"/>
        </w:rPr>
      </w:pPr>
      <w:r w:rsidRPr="003C2361">
        <w:rPr>
          <w:b/>
          <w:bCs/>
          <w:color w:val="000000"/>
          <w:szCs w:val="22"/>
        </w:rPr>
        <w:t>Appropriateness</w:t>
      </w:r>
      <w:r w:rsidR="00364CE3">
        <w:rPr>
          <w:color w:val="000000"/>
          <w:szCs w:val="22"/>
        </w:rPr>
        <w:t>:</w:t>
      </w:r>
      <w:r w:rsidRPr="003C2361">
        <w:rPr>
          <w:color w:val="000000"/>
          <w:szCs w:val="22"/>
        </w:rPr>
        <w:t xml:space="preserve"> </w:t>
      </w:r>
      <w:r w:rsidR="00364CE3">
        <w:rPr>
          <w:color w:val="000000"/>
          <w:szCs w:val="22"/>
        </w:rPr>
        <w:t>H</w:t>
      </w:r>
      <w:r w:rsidR="00364CE3" w:rsidRPr="003C2361">
        <w:rPr>
          <w:color w:val="000000"/>
          <w:szCs w:val="22"/>
        </w:rPr>
        <w:t xml:space="preserve">ow </w:t>
      </w:r>
      <w:r w:rsidRPr="003C2361">
        <w:rPr>
          <w:color w:val="000000"/>
          <w:szCs w:val="22"/>
        </w:rPr>
        <w:t xml:space="preserve">appropriate are the measures and actions taken or proposed? </w:t>
      </w:r>
    </w:p>
    <w:p w14:paraId="5CD8A8ED" w14:textId="1B471406" w:rsidR="006A77C4" w:rsidRPr="003C2361" w:rsidRDefault="006A77C4" w:rsidP="006A77C4">
      <w:pPr>
        <w:pStyle w:val="ListParagraph"/>
        <w:numPr>
          <w:ilvl w:val="0"/>
          <w:numId w:val="24"/>
        </w:numPr>
        <w:spacing w:before="0" w:after="160" w:line="259" w:lineRule="auto"/>
        <w:rPr>
          <w:color w:val="000000"/>
          <w:szCs w:val="22"/>
        </w:rPr>
      </w:pPr>
      <w:r w:rsidRPr="003C2361">
        <w:rPr>
          <w:b/>
          <w:bCs/>
          <w:color w:val="000000"/>
          <w:szCs w:val="22"/>
        </w:rPr>
        <w:t>Effectiveness</w:t>
      </w:r>
      <w:r w:rsidR="00364CE3">
        <w:rPr>
          <w:color w:val="000000"/>
          <w:szCs w:val="22"/>
        </w:rPr>
        <w:t>:</w:t>
      </w:r>
      <w:r w:rsidRPr="003C2361">
        <w:rPr>
          <w:color w:val="000000"/>
          <w:szCs w:val="22"/>
        </w:rPr>
        <w:t xml:space="preserve"> </w:t>
      </w:r>
      <w:r w:rsidR="00364CE3">
        <w:rPr>
          <w:color w:val="000000"/>
          <w:szCs w:val="22"/>
        </w:rPr>
        <w:t>H</w:t>
      </w:r>
      <w:r w:rsidR="00364CE3" w:rsidRPr="003C2361">
        <w:rPr>
          <w:color w:val="000000"/>
          <w:szCs w:val="22"/>
        </w:rPr>
        <w:t xml:space="preserve">ow </w:t>
      </w:r>
      <w:r w:rsidRPr="003C2361">
        <w:rPr>
          <w:color w:val="000000"/>
          <w:szCs w:val="22"/>
        </w:rPr>
        <w:t>effective are the measures and actions taken or proposed?</w:t>
      </w:r>
    </w:p>
    <w:p w14:paraId="7ED577EA" w14:textId="0207356D" w:rsidR="006A77C4" w:rsidRPr="003C2361" w:rsidRDefault="006A77C4" w:rsidP="006A77C4">
      <w:pPr>
        <w:pStyle w:val="ListParagraph"/>
        <w:numPr>
          <w:ilvl w:val="0"/>
          <w:numId w:val="24"/>
        </w:numPr>
        <w:spacing w:before="0" w:after="160" w:line="259" w:lineRule="auto"/>
        <w:rPr>
          <w:color w:val="000000"/>
          <w:szCs w:val="22"/>
        </w:rPr>
      </w:pPr>
      <w:r w:rsidRPr="003C2361">
        <w:rPr>
          <w:b/>
          <w:bCs/>
          <w:color w:val="000000"/>
          <w:szCs w:val="22"/>
        </w:rPr>
        <w:t>Accountability</w:t>
      </w:r>
      <w:r w:rsidR="00380AFE">
        <w:rPr>
          <w:color w:val="000000"/>
          <w:szCs w:val="22"/>
        </w:rPr>
        <w:t>: Does</w:t>
      </w:r>
      <w:r w:rsidRPr="003C2361">
        <w:t xml:space="preserve"> the </w:t>
      </w:r>
      <w:r w:rsidR="00380AFE">
        <w:t>government’s</w:t>
      </w:r>
      <w:r w:rsidR="00380AFE" w:rsidRPr="003C2361">
        <w:t xml:space="preserve"> </w:t>
      </w:r>
      <w:r w:rsidRPr="003C2361">
        <w:t xml:space="preserve">response allow for public accountability for achieving the intended outcomes of the </w:t>
      </w:r>
      <w:r w:rsidR="00380AFE">
        <w:t>r</w:t>
      </w:r>
      <w:r w:rsidRPr="003C2361">
        <w:t xml:space="preserve">oyal </w:t>
      </w:r>
      <w:r w:rsidR="00380AFE">
        <w:t>c</w:t>
      </w:r>
      <w:r w:rsidR="00380AFE" w:rsidRPr="003C2361">
        <w:t>ommission</w:t>
      </w:r>
      <w:r w:rsidRPr="003C2361">
        <w:t>?</w:t>
      </w:r>
    </w:p>
    <w:p w14:paraId="5E665AD2" w14:textId="538D6A76" w:rsidR="006A77C4" w:rsidRDefault="006A77C4" w:rsidP="006A77C4">
      <w:pPr>
        <w:pStyle w:val="ListParagraph"/>
        <w:numPr>
          <w:ilvl w:val="0"/>
          <w:numId w:val="24"/>
        </w:numPr>
        <w:spacing w:before="0" w:after="160" w:line="259" w:lineRule="auto"/>
        <w:rPr>
          <w:color w:val="000000"/>
          <w:szCs w:val="22"/>
        </w:rPr>
      </w:pPr>
      <w:r w:rsidRPr="003C2361">
        <w:rPr>
          <w:b/>
          <w:bCs/>
          <w:color w:val="000000"/>
          <w:szCs w:val="22"/>
        </w:rPr>
        <w:t>Opportunities for improvement</w:t>
      </w:r>
      <w:r w:rsidR="00380AFE">
        <w:rPr>
          <w:color w:val="000000"/>
          <w:szCs w:val="22"/>
        </w:rPr>
        <w:t xml:space="preserve">: </w:t>
      </w:r>
      <w:r w:rsidR="00CD4C77">
        <w:rPr>
          <w:color w:val="000000"/>
          <w:szCs w:val="22"/>
        </w:rPr>
        <w:t>Whether</w:t>
      </w:r>
      <w:r w:rsidR="0084111C">
        <w:rPr>
          <w:color w:val="000000"/>
          <w:szCs w:val="22"/>
        </w:rPr>
        <w:t xml:space="preserve"> further action is required</w:t>
      </w:r>
      <w:r w:rsidRPr="003D4322">
        <w:rPr>
          <w:color w:val="000000"/>
          <w:szCs w:val="22"/>
        </w:rPr>
        <w:t xml:space="preserve"> to deliver the </w:t>
      </w:r>
      <w:r w:rsidR="00380AFE">
        <w:rPr>
          <w:color w:val="000000"/>
          <w:szCs w:val="22"/>
        </w:rPr>
        <w:t xml:space="preserve">royal commission’s </w:t>
      </w:r>
      <w:r w:rsidRPr="003D4322">
        <w:rPr>
          <w:color w:val="000000"/>
          <w:szCs w:val="22"/>
        </w:rPr>
        <w:t>intended outcomes</w:t>
      </w:r>
      <w:r>
        <w:rPr>
          <w:color w:val="000000"/>
          <w:szCs w:val="22"/>
        </w:rPr>
        <w:t>?</w:t>
      </w:r>
      <w:r w:rsidRPr="003D4322">
        <w:rPr>
          <w:color w:val="000000"/>
          <w:szCs w:val="22"/>
        </w:rPr>
        <w:t xml:space="preserve"> </w:t>
      </w:r>
    </w:p>
    <w:p w14:paraId="17B70C39" w14:textId="7A40788D" w:rsidR="006A77C4" w:rsidRDefault="00BA6175" w:rsidP="006A77C4">
      <w:r>
        <w:rPr>
          <w:color w:val="000000"/>
          <w:szCs w:val="22"/>
        </w:rPr>
        <w:t>T</w:t>
      </w:r>
      <w:r w:rsidR="006A77C4" w:rsidRPr="00A85B93">
        <w:rPr>
          <w:color w:val="000000"/>
          <w:szCs w:val="22"/>
        </w:rPr>
        <w:t>he Inspector-General will consider the</w:t>
      </w:r>
      <w:r w:rsidR="006A77C4">
        <w:t xml:space="preserve"> </w:t>
      </w:r>
      <w:r w:rsidR="006A77C4" w:rsidRPr="003B3ECC">
        <w:t xml:space="preserve">measures and actions taken </w:t>
      </w:r>
      <w:r w:rsidR="006A77C4">
        <w:t xml:space="preserve">in response to each of the 148 recommendations of the </w:t>
      </w:r>
      <w:r>
        <w:t xml:space="preserve">Aged Care </w:t>
      </w:r>
      <w:r w:rsidR="006A77C4">
        <w:t>Royal Commission</w:t>
      </w:r>
      <w:r w:rsidR="00671BFA">
        <w:t xml:space="preserve">. However, resources and effort will </w:t>
      </w:r>
      <w:r w:rsidR="006A77C4">
        <w:t xml:space="preserve">prioritise key areas of reform that are most likely to support or hinder the </w:t>
      </w:r>
      <w:r w:rsidR="00671BFA">
        <w:t xml:space="preserve">royal commission’s </w:t>
      </w:r>
      <w:r w:rsidR="006A77C4">
        <w:t xml:space="preserve">intended outcomes </w:t>
      </w:r>
      <w:r w:rsidR="00F262B9">
        <w:t xml:space="preserve">across these </w:t>
      </w:r>
      <w:r w:rsidR="00671BFA">
        <w:t xml:space="preserve">9 </w:t>
      </w:r>
      <w:r w:rsidR="00F262B9">
        <w:t>outcome areas</w:t>
      </w:r>
      <w:r w:rsidR="006A77C4">
        <w:t xml:space="preserve">. </w:t>
      </w:r>
    </w:p>
    <w:p w14:paraId="1EBE7F01" w14:textId="08954242" w:rsidR="00F262B9" w:rsidRDefault="00CC19AD" w:rsidP="00766354">
      <w:pPr>
        <w:pStyle w:val="Heading3"/>
        <w:numPr>
          <w:ilvl w:val="0"/>
          <w:numId w:val="38"/>
        </w:numPr>
      </w:pPr>
      <w:bookmarkStart w:id="6" w:name="_Toc241056377"/>
      <w:bookmarkStart w:id="7" w:name="_Toc241056418"/>
      <w:bookmarkStart w:id="8" w:name="_Toc241056452"/>
      <w:bookmarkStart w:id="9" w:name="_Toc241056469"/>
      <w:bookmarkStart w:id="10" w:name="_Toc241058629"/>
      <w:bookmarkStart w:id="11" w:name="_Toc237607563"/>
      <w:bookmarkEnd w:id="6"/>
      <w:bookmarkEnd w:id="7"/>
      <w:bookmarkEnd w:id="8"/>
      <w:bookmarkEnd w:id="9"/>
      <w:r>
        <w:lastRenderedPageBreak/>
        <w:t xml:space="preserve">Assessment of </w:t>
      </w:r>
      <w:r w:rsidR="00C80CF6">
        <w:t xml:space="preserve">the implementation of </w:t>
      </w:r>
      <w:r>
        <w:t xml:space="preserve">the </w:t>
      </w:r>
      <w:bookmarkStart w:id="12" w:name="_Toc241058630"/>
      <w:bookmarkEnd w:id="10"/>
      <w:r w:rsidR="00F262B9" w:rsidRPr="00351ABC">
        <w:t>recommendation</w:t>
      </w:r>
      <w:r>
        <w:t>s</w:t>
      </w:r>
      <w:bookmarkEnd w:id="12"/>
      <w:r w:rsidR="00F262B9" w:rsidRPr="00351ABC">
        <w:t xml:space="preserve"> </w:t>
      </w:r>
      <w:bookmarkEnd w:id="11"/>
    </w:p>
    <w:p w14:paraId="715E7C0D" w14:textId="2F0DAF2E" w:rsidR="00F262B9" w:rsidRDefault="00064157" w:rsidP="007752F6">
      <w:pPr>
        <w:rPr>
          <w:color w:val="000000"/>
          <w:szCs w:val="22"/>
        </w:rPr>
      </w:pPr>
      <w:r>
        <w:t>T</w:t>
      </w:r>
      <w:r w:rsidR="007752F6">
        <w:t xml:space="preserve">he </w:t>
      </w:r>
      <w:r w:rsidR="00400B15">
        <w:t>Inspector-General will</w:t>
      </w:r>
      <w:r w:rsidR="00F262B9">
        <w:t xml:space="preserve"> assess</w:t>
      </w:r>
      <w:r w:rsidR="007A4558">
        <w:t xml:space="preserve"> the government’s </w:t>
      </w:r>
      <w:r w:rsidR="00F262B9">
        <w:t xml:space="preserve">response </w:t>
      </w:r>
      <w:r w:rsidR="00D17217">
        <w:t xml:space="preserve">to the royal commission’s recommendations </w:t>
      </w:r>
      <w:r w:rsidR="00F262B9">
        <w:t xml:space="preserve">using the </w:t>
      </w:r>
      <w:r w:rsidR="00CC19AD">
        <w:t>assessment framework outlined in this section.</w:t>
      </w:r>
      <w:r w:rsidR="00E76712">
        <w:t xml:space="preserve"> This is based on </w:t>
      </w:r>
      <w:r w:rsidR="00C933E5">
        <w:t>the</w:t>
      </w:r>
      <w:r w:rsidR="00E76712">
        <w:t xml:space="preserve"> </w:t>
      </w:r>
      <w:r w:rsidR="005367E7">
        <w:t>framework used in the 2025 Progress Report</w:t>
      </w:r>
      <w:r w:rsidR="00E43134">
        <w:t xml:space="preserve">, which </w:t>
      </w:r>
      <w:r w:rsidR="00C933E5">
        <w:t>assessed</w:t>
      </w:r>
      <w:r w:rsidR="00E43134">
        <w:t xml:space="preserve"> the </w:t>
      </w:r>
      <w:r w:rsidR="001855AB">
        <w:t xml:space="preserve">‘government position’ and ‘delivery status’ of each recommendation. </w:t>
      </w:r>
      <w:r w:rsidR="005A1CBA">
        <w:t xml:space="preserve">The government will be asked to </w:t>
      </w:r>
      <w:r w:rsidR="0061398F">
        <w:t>provide a response using this framework.</w:t>
      </w:r>
    </w:p>
    <w:p w14:paraId="68062354" w14:textId="17FC522F" w:rsidR="00F262B9" w:rsidRDefault="00F262B9" w:rsidP="00823E30">
      <w:pPr>
        <w:pStyle w:val="Heading4"/>
      </w:pPr>
      <w:r>
        <w:t>Inspector-General</w:t>
      </w:r>
      <w:r w:rsidR="00590DF4">
        <w:t xml:space="preserve">’s </w:t>
      </w:r>
      <w:r w:rsidR="00C24D27">
        <w:t>f</w:t>
      </w:r>
      <w:r>
        <w:t xml:space="preserve">ramework for appraising implementation </w:t>
      </w:r>
    </w:p>
    <w:p w14:paraId="1196FB10" w14:textId="1CEC3CE4" w:rsidR="00F262B9" w:rsidRDefault="00F262B9" w:rsidP="00C933E5">
      <w:pPr>
        <w:pStyle w:val="Heading5"/>
        <w:numPr>
          <w:ilvl w:val="0"/>
          <w:numId w:val="39"/>
        </w:numPr>
      </w:pPr>
      <w:r w:rsidRPr="007018A7">
        <w:t>Government position</w:t>
      </w:r>
    </w:p>
    <w:p w14:paraId="682A4643" w14:textId="52177009" w:rsidR="00F262B9" w:rsidRPr="00FF33B0" w:rsidRDefault="00486684" w:rsidP="00F262B9">
      <w:r>
        <w:t>In the 2025 Progress Report, t</w:t>
      </w:r>
      <w:r w:rsidR="00F262B9">
        <w:t xml:space="preserve">he Inspector-General </w:t>
      </w:r>
      <w:r w:rsidR="00B84E41">
        <w:t>classified</w:t>
      </w:r>
      <w:r w:rsidR="00F262B9">
        <w:t xml:space="preserve"> the </w:t>
      </w:r>
      <w:r w:rsidR="00841888">
        <w:t xml:space="preserve">government’s </w:t>
      </w:r>
      <w:r w:rsidR="00F262B9">
        <w:t xml:space="preserve">position on a recommendation </w:t>
      </w:r>
      <w:r w:rsidR="00400B15">
        <w:t xml:space="preserve">using </w:t>
      </w:r>
      <w:r w:rsidR="00841888">
        <w:t xml:space="preserve">the following 5 </w:t>
      </w:r>
      <w:r w:rsidR="00F262B9">
        <w:t>criteria:</w:t>
      </w:r>
    </w:p>
    <w:p w14:paraId="38D6740C" w14:textId="0F7774C2" w:rsidR="00F262B9" w:rsidRDefault="00F262B9" w:rsidP="00F262B9">
      <w:pPr>
        <w:pStyle w:val="ListParagraph"/>
        <w:numPr>
          <w:ilvl w:val="0"/>
          <w:numId w:val="32"/>
        </w:numPr>
        <w:spacing w:before="0" w:after="160" w:line="259" w:lineRule="auto"/>
      </w:pPr>
      <w:r w:rsidRPr="00FF11DD">
        <w:rPr>
          <w:b/>
          <w:bCs/>
        </w:rPr>
        <w:t>‘Accepted in full’</w:t>
      </w:r>
      <w:r w:rsidR="00841888">
        <w:t>:</w:t>
      </w:r>
      <w:r>
        <w:t xml:space="preserve"> </w:t>
      </w:r>
      <w:r w:rsidR="00841888">
        <w:t xml:space="preserve">The </w:t>
      </w:r>
      <w:r>
        <w:t xml:space="preserve">government has agreed to implement the recommendation, including all relevant sub-components, in full. </w:t>
      </w:r>
    </w:p>
    <w:p w14:paraId="162EC5EE" w14:textId="74C6F437" w:rsidR="00F262B9" w:rsidRDefault="00F262B9" w:rsidP="00F262B9">
      <w:pPr>
        <w:pStyle w:val="ListParagraph"/>
        <w:numPr>
          <w:ilvl w:val="0"/>
          <w:numId w:val="32"/>
        </w:numPr>
        <w:spacing w:before="0" w:after="160" w:line="259" w:lineRule="auto"/>
      </w:pPr>
      <w:r w:rsidRPr="00FF11DD">
        <w:rPr>
          <w:b/>
          <w:bCs/>
        </w:rPr>
        <w:t>‘Accepted in part’</w:t>
      </w:r>
      <w:r w:rsidR="00841888">
        <w:t>: T</w:t>
      </w:r>
      <w:r>
        <w:t xml:space="preserve">he government has agreed to implement some parts of the recommendation but with some sub-components rejected (either in full or in favour of an alternative approach) or under further consideration. </w:t>
      </w:r>
    </w:p>
    <w:p w14:paraId="1B6BFF93" w14:textId="0F93D599" w:rsidR="00F262B9" w:rsidRDefault="00F262B9" w:rsidP="00F262B9">
      <w:pPr>
        <w:pStyle w:val="ListParagraph"/>
        <w:numPr>
          <w:ilvl w:val="0"/>
          <w:numId w:val="32"/>
        </w:numPr>
        <w:spacing w:before="0" w:after="160" w:line="259" w:lineRule="auto"/>
      </w:pPr>
      <w:r w:rsidRPr="00FF11DD">
        <w:rPr>
          <w:b/>
          <w:bCs/>
        </w:rPr>
        <w:t>‘Under further consideration’</w:t>
      </w:r>
      <w:r w:rsidR="00841888">
        <w:t>: T</w:t>
      </w:r>
      <w:r>
        <w:t xml:space="preserve">he government is still considering its position on the recommendation and its sub-components. </w:t>
      </w:r>
    </w:p>
    <w:p w14:paraId="19386227" w14:textId="35760C8C" w:rsidR="00F262B9" w:rsidRDefault="00F262B9" w:rsidP="00F262B9">
      <w:pPr>
        <w:pStyle w:val="ListParagraph"/>
        <w:numPr>
          <w:ilvl w:val="0"/>
          <w:numId w:val="32"/>
        </w:numPr>
        <w:spacing w:before="0" w:after="160" w:line="259" w:lineRule="auto"/>
      </w:pPr>
      <w:r w:rsidRPr="00FF11DD">
        <w:rPr>
          <w:b/>
          <w:bCs/>
        </w:rPr>
        <w:t>‘Rejected in favour of an alternative approach’</w:t>
      </w:r>
      <w:r w:rsidR="00841888">
        <w:t>: T</w:t>
      </w:r>
      <w:r>
        <w:t xml:space="preserve">he government has decided not to proceed with implementing the recommendation and its sub-components as per the final </w:t>
      </w:r>
      <w:proofErr w:type="gramStart"/>
      <w:r>
        <w:t>report, and</w:t>
      </w:r>
      <w:proofErr w:type="gramEnd"/>
      <w:r>
        <w:t xml:space="preserve"> has instead decided on an alternative course of action which is fundamentally different from the recommendation. </w:t>
      </w:r>
    </w:p>
    <w:p w14:paraId="231A2B0A" w14:textId="0CCC3905" w:rsidR="00F262B9" w:rsidRDefault="00F262B9" w:rsidP="00F262B9">
      <w:pPr>
        <w:pStyle w:val="ListParagraph"/>
        <w:numPr>
          <w:ilvl w:val="0"/>
          <w:numId w:val="32"/>
        </w:numPr>
        <w:spacing w:before="0" w:after="160" w:line="259" w:lineRule="auto"/>
      </w:pPr>
      <w:r w:rsidRPr="00FF11DD">
        <w:rPr>
          <w:b/>
          <w:bCs/>
        </w:rPr>
        <w:t>‘Rejected in full’</w:t>
      </w:r>
      <w:r w:rsidR="00B84E41">
        <w:t>: T</w:t>
      </w:r>
      <w:r>
        <w:t xml:space="preserve">he government has decided not to take any action to implement the recommendation or any of its sub-components.  </w:t>
      </w:r>
    </w:p>
    <w:p w14:paraId="3DF1F34D" w14:textId="388A85BC" w:rsidR="00F262B9" w:rsidRDefault="00F262B9" w:rsidP="00823E30">
      <w:r>
        <w:t xml:space="preserve">A recommendation </w:t>
      </w:r>
      <w:r w:rsidR="00576640">
        <w:t>was</w:t>
      </w:r>
      <w:r>
        <w:t xml:space="preserve"> classified as </w:t>
      </w:r>
      <w:r w:rsidRPr="007018A7">
        <w:rPr>
          <w:b/>
          <w:bCs/>
        </w:rPr>
        <w:t>‘rejected’</w:t>
      </w:r>
      <w:r>
        <w:t xml:space="preserve"> where: </w:t>
      </w:r>
    </w:p>
    <w:p w14:paraId="060FB48E" w14:textId="0B6AA7F5" w:rsidR="00F262B9" w:rsidRDefault="00F262B9" w:rsidP="00F262B9">
      <w:pPr>
        <w:pStyle w:val="ListParagraph"/>
        <w:numPr>
          <w:ilvl w:val="0"/>
          <w:numId w:val="33"/>
        </w:numPr>
        <w:spacing w:before="0" w:after="160" w:line="259" w:lineRule="auto"/>
      </w:pPr>
      <w:r>
        <w:t xml:space="preserve">the government </w:t>
      </w:r>
      <w:r w:rsidR="00576640">
        <w:t>chose</w:t>
      </w:r>
      <w:r>
        <w:t xml:space="preserve"> an approach which </w:t>
      </w:r>
      <w:r w:rsidR="00576640">
        <w:t xml:space="preserve">did </w:t>
      </w:r>
      <w:r>
        <w:t xml:space="preserve">not align with that proposed by the </w:t>
      </w:r>
      <w:r w:rsidR="00400B15">
        <w:t>r</w:t>
      </w:r>
      <w:r>
        <w:t xml:space="preserve">oyal </w:t>
      </w:r>
      <w:r w:rsidR="00400B15">
        <w:t xml:space="preserve">commission </w:t>
      </w:r>
    </w:p>
    <w:p w14:paraId="238E6E6D" w14:textId="2652AEDB" w:rsidR="00F262B9" w:rsidRDefault="00F262B9" w:rsidP="00F262B9">
      <w:pPr>
        <w:pStyle w:val="ListParagraph"/>
        <w:numPr>
          <w:ilvl w:val="0"/>
          <w:numId w:val="33"/>
        </w:numPr>
        <w:spacing w:before="0" w:after="160" w:line="259" w:lineRule="auto"/>
      </w:pPr>
      <w:r>
        <w:t>no action ha</w:t>
      </w:r>
      <w:r w:rsidR="00576640">
        <w:t>d</w:t>
      </w:r>
      <w:r>
        <w:t xml:space="preserve"> been taken because a decision </w:t>
      </w:r>
      <w:r w:rsidR="00400B15">
        <w:t>was</w:t>
      </w:r>
      <w:r>
        <w:t xml:space="preserve"> made not to implement a recommendation </w:t>
      </w:r>
    </w:p>
    <w:p w14:paraId="2A2EFFF9" w14:textId="4D0AE033" w:rsidR="00F262B9" w:rsidRDefault="00F262B9" w:rsidP="00F262B9">
      <w:pPr>
        <w:pStyle w:val="ListParagraph"/>
        <w:numPr>
          <w:ilvl w:val="0"/>
          <w:numId w:val="33"/>
        </w:numPr>
        <w:spacing w:before="0" w:after="160" w:line="259" w:lineRule="auto"/>
      </w:pPr>
      <w:r>
        <w:t xml:space="preserve">the government needed to choose between alternative recommendations presented by </w:t>
      </w:r>
      <w:r w:rsidR="00400B15">
        <w:t>commissioners</w:t>
      </w:r>
      <w:r>
        <w:t xml:space="preserve">. </w:t>
      </w:r>
    </w:p>
    <w:p w14:paraId="681ECC05" w14:textId="1B832B58" w:rsidR="00F262B9" w:rsidRDefault="00486684" w:rsidP="00F262B9">
      <w:r>
        <w:t xml:space="preserve">The </w:t>
      </w:r>
      <w:r w:rsidR="00F262B9">
        <w:t xml:space="preserve">review will not revisit the 2025 assessment of the </w:t>
      </w:r>
      <w:r w:rsidR="00576640">
        <w:t xml:space="preserve">government’s </w:t>
      </w:r>
      <w:r w:rsidR="00F262B9">
        <w:t xml:space="preserve">position </w:t>
      </w:r>
      <w:r w:rsidR="00F262B9" w:rsidRPr="00823E30">
        <w:rPr>
          <w:b/>
          <w:bCs/>
        </w:rPr>
        <w:t>unless</w:t>
      </w:r>
      <w:r w:rsidR="00F262B9">
        <w:t>:</w:t>
      </w:r>
    </w:p>
    <w:p w14:paraId="0085D07C" w14:textId="2D0FE8DA" w:rsidR="00F262B9" w:rsidRDefault="00576640" w:rsidP="00F262B9">
      <w:pPr>
        <w:pStyle w:val="ListParagraph"/>
        <w:numPr>
          <w:ilvl w:val="0"/>
          <w:numId w:val="35"/>
        </w:numPr>
        <w:spacing w:before="0" w:after="160" w:line="259" w:lineRule="auto"/>
      </w:pPr>
      <w:r>
        <w:t xml:space="preserve">the </w:t>
      </w:r>
      <w:r w:rsidR="00F262B9">
        <w:t>recommendation was assessed as</w:t>
      </w:r>
      <w:r w:rsidR="00A86DD5">
        <w:t xml:space="preserve"> </w:t>
      </w:r>
      <w:r>
        <w:t>‘</w:t>
      </w:r>
      <w:r w:rsidR="00F262B9" w:rsidRPr="00893BF8">
        <w:t>Under further consideration</w:t>
      </w:r>
      <w:r w:rsidR="00A86DD5">
        <w:t>’</w:t>
      </w:r>
      <w:r w:rsidR="00F262B9" w:rsidRPr="00615B4A">
        <w:t xml:space="preserve"> in 2025</w:t>
      </w:r>
      <w:r w:rsidR="00F262B9">
        <w:t xml:space="preserve">. </w:t>
      </w:r>
    </w:p>
    <w:p w14:paraId="289BD168" w14:textId="503A03E4" w:rsidR="00F262B9" w:rsidRDefault="00F262B9" w:rsidP="00F262B9">
      <w:pPr>
        <w:pStyle w:val="ListParagraph"/>
        <w:numPr>
          <w:ilvl w:val="0"/>
          <w:numId w:val="35"/>
        </w:numPr>
        <w:spacing w:before="0" w:after="160" w:line="259" w:lineRule="auto"/>
      </w:pPr>
      <w:r>
        <w:t xml:space="preserve">an agency/government seeks a </w:t>
      </w:r>
      <w:r w:rsidR="00A873DC">
        <w:t>reassessment and</w:t>
      </w:r>
      <w:r w:rsidR="006E60A6">
        <w:t xml:space="preserve"> </w:t>
      </w:r>
      <w:r>
        <w:t>provide</w:t>
      </w:r>
      <w:r w:rsidR="006E60A6">
        <w:t>s</w:t>
      </w:r>
      <w:r>
        <w:t xml:space="preserve"> </w:t>
      </w:r>
      <w:r w:rsidR="00A508E3">
        <w:t xml:space="preserve">new </w:t>
      </w:r>
      <w:r>
        <w:t xml:space="preserve">evidence </w:t>
      </w:r>
      <w:r w:rsidR="009B4DBA">
        <w:t xml:space="preserve">to support a change in </w:t>
      </w:r>
      <w:r>
        <w:t xml:space="preserve">category (see </w:t>
      </w:r>
      <w:r w:rsidR="0017700E">
        <w:t>‘A</w:t>
      </w:r>
      <w:r>
        <w:t>pproach to evidence</w:t>
      </w:r>
      <w:r w:rsidR="0017700E">
        <w:t>’</w:t>
      </w:r>
      <w:r>
        <w:t xml:space="preserve"> below).</w:t>
      </w:r>
      <w:r w:rsidR="00904739">
        <w:t xml:space="preserve"> </w:t>
      </w:r>
      <w:r w:rsidR="00AC6420">
        <w:t xml:space="preserve">The Inspector-General will only undertake a </w:t>
      </w:r>
      <w:r w:rsidR="00904739">
        <w:t>reassessment in exceptional circumstances and not to relitigate issues raised during the 2025 Progress Report process.</w:t>
      </w:r>
    </w:p>
    <w:p w14:paraId="7CBD4AA3" w14:textId="075DBBBD" w:rsidR="00F262B9" w:rsidRPr="007018A7" w:rsidRDefault="00F262B9" w:rsidP="00EF0223">
      <w:pPr>
        <w:pStyle w:val="Heading5"/>
        <w:numPr>
          <w:ilvl w:val="0"/>
          <w:numId w:val="39"/>
        </w:numPr>
      </w:pPr>
      <w:r w:rsidRPr="007018A7">
        <w:t>Delivery</w:t>
      </w:r>
      <w:r w:rsidRPr="0043267F">
        <w:t xml:space="preserve"> status</w:t>
      </w:r>
    </w:p>
    <w:p w14:paraId="67E9017C" w14:textId="3D480A8E" w:rsidR="00403B7D" w:rsidRDefault="00403B7D" w:rsidP="00F262B9">
      <w:r>
        <w:t>The</w:t>
      </w:r>
      <w:r w:rsidR="00F262B9">
        <w:t xml:space="preserve"> review will seek an update from </w:t>
      </w:r>
      <w:r w:rsidR="00486684">
        <w:t xml:space="preserve">government </w:t>
      </w:r>
      <w:r w:rsidR="00F262B9">
        <w:t>entities against each recommendation assessed as ‘accepted in full’, ‘accepted in part’</w:t>
      </w:r>
      <w:r w:rsidR="002C1062">
        <w:t>, ‘u</w:t>
      </w:r>
      <w:r w:rsidR="002C1062" w:rsidRPr="002C1062">
        <w:t>nder further consideration’</w:t>
      </w:r>
      <w:r w:rsidR="00F262B9">
        <w:t xml:space="preserve"> or ‘r</w:t>
      </w:r>
      <w:r w:rsidR="00F262B9" w:rsidRPr="0087477F">
        <w:t>ejected in favour of an alternative approach’</w:t>
      </w:r>
      <w:r w:rsidR="00F262B9">
        <w:t xml:space="preserve">.  </w:t>
      </w:r>
    </w:p>
    <w:p w14:paraId="04E53BFA" w14:textId="0F32C447" w:rsidR="00F262B9" w:rsidRPr="005D7FCB" w:rsidRDefault="00F262B9" w:rsidP="00823E30">
      <w:pPr>
        <w:keepNext/>
      </w:pPr>
      <w:r>
        <w:lastRenderedPageBreak/>
        <w:t xml:space="preserve">In providing this update, </w:t>
      </w:r>
      <w:r w:rsidRPr="00575314">
        <w:t>entities will be asked to identify the following</w:t>
      </w:r>
      <w:r w:rsidR="002D752D">
        <w:t>, and provide evidence supporting their response</w:t>
      </w:r>
      <w:r>
        <w:t>:</w:t>
      </w:r>
    </w:p>
    <w:p w14:paraId="08F80033" w14:textId="556FB6C0" w:rsidR="00F262B9" w:rsidRDefault="00F262B9" w:rsidP="005F4802">
      <w:pPr>
        <w:pStyle w:val="ListParagraph"/>
        <w:numPr>
          <w:ilvl w:val="0"/>
          <w:numId w:val="40"/>
        </w:numPr>
      </w:pPr>
      <w:r w:rsidRPr="00823E30">
        <w:rPr>
          <w:b/>
          <w:bCs/>
        </w:rPr>
        <w:t>Plan – what was intended and why?</w:t>
      </w:r>
      <w:r w:rsidR="00D704BF">
        <w:rPr>
          <w:b/>
          <w:bCs/>
        </w:rPr>
        <w:t xml:space="preserve"> </w:t>
      </w:r>
      <w:r>
        <w:t>Summarise scope, timelines, dependencies, governance and resourcing, how lived-experience and provider and other stakeholder input was incorporated, and how the work aligns to the recommendation’s intent or, if it does not, what the intent of the work is</w:t>
      </w:r>
      <w:r w:rsidR="001705C6">
        <w:t>.</w:t>
      </w:r>
    </w:p>
    <w:p w14:paraId="16FA09E7" w14:textId="72035EC6" w:rsidR="00F262B9" w:rsidRDefault="00F262B9" w:rsidP="005F4802">
      <w:pPr>
        <w:pStyle w:val="ListParagraph"/>
        <w:numPr>
          <w:ilvl w:val="0"/>
          <w:numId w:val="40"/>
        </w:numPr>
        <w:spacing w:before="0" w:after="160" w:line="259" w:lineRule="auto"/>
      </w:pPr>
      <w:r w:rsidRPr="00823E30">
        <w:rPr>
          <w:b/>
          <w:bCs/>
        </w:rPr>
        <w:t>Do – what has been delivered?</w:t>
      </w:r>
      <w:r w:rsidR="00D704BF">
        <w:rPr>
          <w:b/>
          <w:bCs/>
        </w:rPr>
        <w:t xml:space="preserve"> </w:t>
      </w:r>
      <w:r w:rsidRPr="00565042">
        <w:t xml:space="preserve">Describe actions taken and outputs relevant to </w:t>
      </w:r>
      <w:r>
        <w:t xml:space="preserve">the </w:t>
      </w:r>
      <w:r w:rsidRPr="00565042">
        <w:t xml:space="preserve">recommendation, with dates and coverage outlined </w:t>
      </w:r>
    </w:p>
    <w:p w14:paraId="5E001311" w14:textId="2E313900" w:rsidR="00F262B9" w:rsidRDefault="00F262B9" w:rsidP="005F4802">
      <w:pPr>
        <w:pStyle w:val="ListParagraph"/>
        <w:numPr>
          <w:ilvl w:val="0"/>
          <w:numId w:val="40"/>
        </w:numPr>
        <w:spacing w:before="0" w:after="160" w:line="259" w:lineRule="auto"/>
      </w:pPr>
      <w:r w:rsidRPr="00823E30">
        <w:rPr>
          <w:b/>
          <w:bCs/>
        </w:rPr>
        <w:t>Check – what verifies that the change is operating as intended?</w:t>
      </w:r>
      <w:r w:rsidR="00D704BF">
        <w:rPr>
          <w:b/>
          <w:bCs/>
        </w:rPr>
        <w:t xml:space="preserve"> </w:t>
      </w:r>
      <w:r w:rsidRPr="004A7FA9">
        <w:t>Provide proportionate verification through routine monitoring or evaluation</w:t>
      </w:r>
    </w:p>
    <w:p w14:paraId="41D3E4A4" w14:textId="01BBB93D" w:rsidR="00F262B9" w:rsidRDefault="00F262B9" w:rsidP="005F4802">
      <w:pPr>
        <w:pStyle w:val="ListParagraph"/>
        <w:numPr>
          <w:ilvl w:val="0"/>
          <w:numId w:val="40"/>
        </w:numPr>
        <w:spacing w:before="0" w:after="160" w:line="259" w:lineRule="auto"/>
      </w:pPr>
      <w:r w:rsidRPr="00823E30">
        <w:rPr>
          <w:b/>
          <w:bCs/>
        </w:rPr>
        <w:t>Act – what will happen next</w:t>
      </w:r>
      <w:r w:rsidR="00D704BF">
        <w:rPr>
          <w:b/>
          <w:bCs/>
        </w:rPr>
        <w:t>?</w:t>
      </w:r>
      <w:r w:rsidR="00D704BF">
        <w:t xml:space="preserve"> </w:t>
      </w:r>
      <w:r>
        <w:t xml:space="preserve">Show course-corrections, mitigations, or refinements made as issues emerged, including how lived experience and provider feedback informed adjustments. </w:t>
      </w:r>
    </w:p>
    <w:p w14:paraId="2D33D35B" w14:textId="27CCB8AE" w:rsidR="00E544DF" w:rsidRDefault="00E544DF" w:rsidP="00F262B9">
      <w:r>
        <w:t>Entities may elect to address multiple recommendations collectively in their</w:t>
      </w:r>
      <w:r w:rsidR="00B476EB">
        <w:t xml:space="preserve"> delivery status</w:t>
      </w:r>
      <w:r>
        <w:t xml:space="preserve"> update.</w:t>
      </w:r>
    </w:p>
    <w:p w14:paraId="583E2A34" w14:textId="3F5AA219" w:rsidR="001705C6" w:rsidRDefault="00F262B9" w:rsidP="00F262B9">
      <w:r w:rsidRPr="00AF739C">
        <w:t xml:space="preserve">The </w:t>
      </w:r>
      <w:r>
        <w:t>entities</w:t>
      </w:r>
      <w:r w:rsidRPr="00AF739C">
        <w:t xml:space="preserve">’ </w:t>
      </w:r>
      <w:r>
        <w:t>responses will be used to inform the Inspector-General’s assessment of</w:t>
      </w:r>
      <w:r w:rsidR="00F000E5">
        <w:t xml:space="preserve"> </w:t>
      </w:r>
      <w:r>
        <w:t xml:space="preserve">appropriateness, effectiveness, accountability and opportunities for improvement. </w:t>
      </w:r>
    </w:p>
    <w:p w14:paraId="42FC9BDE" w14:textId="195AB8EF" w:rsidR="00F262B9" w:rsidRPr="00AF739C" w:rsidRDefault="00F262B9" w:rsidP="00F262B9">
      <w:r>
        <w:t>The responses</w:t>
      </w:r>
      <w:r w:rsidRPr="00AF739C">
        <w:t xml:space="preserve"> may be published through the review process or in the final report.</w:t>
      </w:r>
      <w:r>
        <w:t xml:space="preserve"> </w:t>
      </w:r>
    </w:p>
    <w:p w14:paraId="6FF46D7C" w14:textId="77777777" w:rsidR="00F262B9" w:rsidRPr="006B6F4A" w:rsidRDefault="00F262B9" w:rsidP="00F262B9">
      <w:pPr>
        <w:pStyle w:val="Heading4"/>
      </w:pPr>
      <w:r w:rsidRPr="006B6F4A">
        <w:t xml:space="preserve">Approach to evidence </w:t>
      </w:r>
    </w:p>
    <w:p w14:paraId="31AB33C3" w14:textId="1B7C3FDE" w:rsidR="00C24D27" w:rsidRDefault="00C24D27" w:rsidP="00F262B9">
      <w:r>
        <w:t xml:space="preserve">In addition to </w:t>
      </w:r>
      <w:r w:rsidR="00F822EF">
        <w:t>asking</w:t>
      </w:r>
      <w:r w:rsidR="00F262B9">
        <w:t xml:space="preserve"> entities </w:t>
      </w:r>
      <w:r w:rsidR="00F822EF">
        <w:t xml:space="preserve">to </w:t>
      </w:r>
      <w:r w:rsidR="00F262B9">
        <w:t xml:space="preserve">provide evidence to support their </w:t>
      </w:r>
      <w:r w:rsidR="00F56FE4">
        <w:t xml:space="preserve">response to the </w:t>
      </w:r>
      <w:r w:rsidR="00B5799B">
        <w:t xml:space="preserve">‘delivery status’ or their </w:t>
      </w:r>
      <w:r w:rsidR="00F262B9">
        <w:t>request for a change to the ‘Government position’</w:t>
      </w:r>
      <w:r>
        <w:t>, t</w:t>
      </w:r>
      <w:r w:rsidR="001603AD">
        <w:t xml:space="preserve">he Inspector-General may also request evidence in other contexts. </w:t>
      </w:r>
    </w:p>
    <w:p w14:paraId="0F192616" w14:textId="08AAD941" w:rsidR="00F262B9" w:rsidRDefault="00F262B9" w:rsidP="00F262B9">
      <w:r>
        <w:t>The Office will assess evidence for:</w:t>
      </w:r>
    </w:p>
    <w:p w14:paraId="52D6CD2B" w14:textId="77777777" w:rsidR="00F262B9" w:rsidRPr="001A72AB" w:rsidRDefault="00F262B9" w:rsidP="00F262B9">
      <w:pPr>
        <w:pStyle w:val="ListParagraph"/>
        <w:numPr>
          <w:ilvl w:val="0"/>
          <w:numId w:val="34"/>
        </w:numPr>
        <w:spacing w:before="0" w:after="160" w:line="259" w:lineRule="auto"/>
      </w:pPr>
      <w:r w:rsidRPr="00823E30">
        <w:rPr>
          <w:b/>
          <w:bCs/>
        </w:rPr>
        <w:t>sufficiency</w:t>
      </w:r>
      <w:r w:rsidRPr="001A72AB">
        <w:t xml:space="preserve"> – is there enough of the right kind of evidence? </w:t>
      </w:r>
    </w:p>
    <w:p w14:paraId="1589C6C9" w14:textId="0760186E" w:rsidR="00F262B9" w:rsidRPr="001A72AB" w:rsidRDefault="00F262B9" w:rsidP="00F262B9">
      <w:pPr>
        <w:pStyle w:val="ListParagraph"/>
        <w:numPr>
          <w:ilvl w:val="0"/>
          <w:numId w:val="34"/>
        </w:numPr>
        <w:spacing w:before="0" w:after="160" w:line="259" w:lineRule="auto"/>
      </w:pPr>
      <w:r w:rsidRPr="00823E30">
        <w:rPr>
          <w:b/>
          <w:bCs/>
        </w:rPr>
        <w:t>relevance</w:t>
      </w:r>
      <w:r w:rsidRPr="001A72AB">
        <w:t xml:space="preserve"> – is the evidence </w:t>
      </w:r>
      <w:r w:rsidR="00C24D27">
        <w:t>relevant</w:t>
      </w:r>
      <w:r w:rsidRPr="001A72AB">
        <w:t xml:space="preserve">? </w:t>
      </w:r>
    </w:p>
    <w:p w14:paraId="619BD087" w14:textId="77777777" w:rsidR="00F262B9" w:rsidRPr="001A72AB" w:rsidRDefault="00F262B9" w:rsidP="00F262B9">
      <w:pPr>
        <w:pStyle w:val="ListParagraph"/>
        <w:numPr>
          <w:ilvl w:val="0"/>
          <w:numId w:val="34"/>
        </w:numPr>
        <w:spacing w:before="0" w:after="160" w:line="259" w:lineRule="auto"/>
      </w:pPr>
      <w:r w:rsidRPr="00823E30">
        <w:rPr>
          <w:b/>
          <w:bCs/>
        </w:rPr>
        <w:t>credibility</w:t>
      </w:r>
      <w:r w:rsidRPr="001A72AB">
        <w:t xml:space="preserve"> – can the material be relied on? </w:t>
      </w:r>
    </w:p>
    <w:p w14:paraId="319BBE22" w14:textId="1D5D4F88" w:rsidR="00F262B9" w:rsidRDefault="00F262B9" w:rsidP="00F262B9">
      <w:r>
        <w:t xml:space="preserve">The amount and detail of the evidence provided should </w:t>
      </w:r>
      <w:r w:rsidRPr="005169A3">
        <w:t>be proportionate</w:t>
      </w:r>
      <w:r>
        <w:t xml:space="preserve"> to the recommendation</w:t>
      </w:r>
      <w:r w:rsidR="001603AD">
        <w:t xml:space="preserve"> and intended outcomes</w:t>
      </w:r>
      <w:r>
        <w:t xml:space="preserve">. Broader reforms </w:t>
      </w:r>
      <w:r w:rsidR="002F7DDD">
        <w:t xml:space="preserve">will generally </w:t>
      </w:r>
      <w:r>
        <w:t xml:space="preserve">require more detailed </w:t>
      </w:r>
      <w:r w:rsidR="002F7DDD">
        <w:t>evidence than mor</w:t>
      </w:r>
      <w:r w:rsidR="00D64960">
        <w:t>e</w:t>
      </w:r>
      <w:r w:rsidR="002F7DDD">
        <w:t xml:space="preserve"> targeted </w:t>
      </w:r>
      <w:r w:rsidR="00D64960">
        <w:t>reforms</w:t>
      </w:r>
      <w:r>
        <w:t xml:space="preserve">. </w:t>
      </w:r>
    </w:p>
    <w:p w14:paraId="3ED9F831" w14:textId="7B62DDBF" w:rsidR="00F262B9" w:rsidRDefault="00F262B9" w:rsidP="00823E30">
      <w:pPr>
        <w:pStyle w:val="Heading2"/>
      </w:pPr>
      <w:bookmarkStart w:id="13" w:name="_Toc237607564"/>
      <w:bookmarkStart w:id="14" w:name="_Toc241058631"/>
      <w:r>
        <w:t xml:space="preserve">Principles </w:t>
      </w:r>
      <w:r w:rsidR="008F659C">
        <w:t xml:space="preserve">guiding </w:t>
      </w:r>
      <w:r>
        <w:t xml:space="preserve">the </w:t>
      </w:r>
      <w:bookmarkEnd w:id="13"/>
      <w:r w:rsidR="008F659C">
        <w:t>review</w:t>
      </w:r>
      <w:bookmarkEnd w:id="14"/>
    </w:p>
    <w:p w14:paraId="4B134179" w14:textId="77777777" w:rsidR="00F262B9" w:rsidRPr="00A55E2D" w:rsidRDefault="00F262B9" w:rsidP="00F262B9">
      <w:r>
        <w:t>The review will be guided by the following principles:</w:t>
      </w:r>
    </w:p>
    <w:p w14:paraId="3CC39859" w14:textId="77777777" w:rsidR="00F262B9" w:rsidRPr="00A55E2D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>Evidence-based assessment</w:t>
      </w:r>
    </w:p>
    <w:p w14:paraId="36B85C8F" w14:textId="77777777" w:rsidR="00F262B9" w:rsidRPr="00A55E2D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>Independence and objectivity</w:t>
      </w:r>
    </w:p>
    <w:p w14:paraId="59C3A5B3" w14:textId="77777777" w:rsidR="00F262B9" w:rsidRPr="00A55E2D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 xml:space="preserve">Transparency </w:t>
      </w:r>
    </w:p>
    <w:p w14:paraId="41B8B65E" w14:textId="77777777" w:rsidR="00F262B9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>Person-centred focus, prioritising the experiences of older people</w:t>
      </w:r>
      <w:r>
        <w:rPr>
          <w:color w:val="000000"/>
          <w:szCs w:val="22"/>
        </w:rPr>
        <w:t xml:space="preserve">, their </w:t>
      </w:r>
      <w:proofErr w:type="spellStart"/>
      <w:r>
        <w:rPr>
          <w:color w:val="000000"/>
          <w:szCs w:val="22"/>
        </w:rPr>
        <w:t>carers</w:t>
      </w:r>
      <w:proofErr w:type="spellEnd"/>
      <w:r>
        <w:rPr>
          <w:color w:val="000000"/>
          <w:szCs w:val="22"/>
        </w:rPr>
        <w:t xml:space="preserve"> and advocates</w:t>
      </w:r>
    </w:p>
    <w:p w14:paraId="66391507" w14:textId="77777777" w:rsidR="00F262B9" w:rsidRPr="00177E07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177E07">
        <w:rPr>
          <w:color w:val="000000"/>
          <w:szCs w:val="22"/>
        </w:rPr>
        <w:t>Commitment to provider perspective</w:t>
      </w:r>
    </w:p>
    <w:p w14:paraId="36E8A86D" w14:textId="77777777" w:rsidR="00F262B9" w:rsidRPr="00A55E2D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>Proportionality and fairness</w:t>
      </w:r>
    </w:p>
    <w:p w14:paraId="1692333E" w14:textId="77777777" w:rsidR="00F262B9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A55E2D">
        <w:rPr>
          <w:color w:val="000000"/>
          <w:szCs w:val="22"/>
        </w:rPr>
        <w:t>Cultural safety for Aboriginal and Torres Strait Islander peoples</w:t>
      </w:r>
    </w:p>
    <w:p w14:paraId="01C49C9B" w14:textId="77777777" w:rsidR="00F262B9" w:rsidRDefault="00F262B9" w:rsidP="00F262B9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Trauma-informed</w:t>
      </w:r>
    </w:p>
    <w:p w14:paraId="75152EB3" w14:textId="78A33825" w:rsidR="00032AF3" w:rsidRPr="00823E30" w:rsidRDefault="00F262B9" w:rsidP="000958D4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 w:rsidRPr="00B476EB">
        <w:rPr>
          <w:color w:val="000000"/>
          <w:szCs w:val="22"/>
        </w:rPr>
        <w:t>Inclusivity for diverse groups, including veterans, LGBTIQA+ communities, CALD communities, and people with disability</w:t>
      </w:r>
      <w:r w:rsidR="008F659C" w:rsidRPr="00B476EB">
        <w:rPr>
          <w:color w:val="000000"/>
          <w:szCs w:val="22"/>
        </w:rPr>
        <w:t>.</w:t>
      </w:r>
    </w:p>
    <w:sectPr w:rsidR="00032AF3" w:rsidRPr="00823E30" w:rsidSect="0069392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843" w:right="1440" w:bottom="1134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440F" w14:textId="77777777" w:rsidR="009A243B" w:rsidRDefault="009A243B" w:rsidP="00AA3591">
      <w:pPr>
        <w:spacing w:after="0"/>
      </w:pPr>
      <w:r>
        <w:separator/>
      </w:r>
    </w:p>
  </w:endnote>
  <w:endnote w:type="continuationSeparator" w:id="0">
    <w:p w14:paraId="3084D8C3" w14:textId="77777777" w:rsidR="009A243B" w:rsidRDefault="009A243B" w:rsidP="00AA3591">
      <w:pPr>
        <w:spacing w:after="0"/>
      </w:pPr>
      <w:r>
        <w:continuationSeparator/>
      </w:r>
    </w:p>
  </w:endnote>
  <w:endnote w:type="continuationNotice" w:id="1">
    <w:p w14:paraId="0A151B94" w14:textId="77777777" w:rsidR="009A243B" w:rsidRDefault="009A243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8F5" w14:textId="4B49CD3B" w:rsidR="00FF075D" w:rsidRDefault="00F602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95326C0" wp14:editId="7202BC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38083393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8A35542-890F-4CA6-87D5-2722A2DC1ED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3056F" w14:textId="57747181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326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283056F" w14:textId="57747181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068B" w14:textId="6428716D" w:rsidR="00AA3591" w:rsidRPr="004E6BE5" w:rsidRDefault="00F602FB" w:rsidP="004E6BE5">
    <w:pPr>
      <w:tabs>
        <w:tab w:val="left" w:pos="8505"/>
      </w:tabs>
      <w:spacing w:before="480"/>
      <w:ind w:right="50"/>
      <w:rPr>
        <w:b/>
        <w:bCs/>
        <w:color w:val="452669" w:themeColor="accent1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CE3CD21" wp14:editId="253F4BE3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703589431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B7F0308-BCB0-40A2-B32B-045F2C2ED86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3D7A1" w14:textId="5D742908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3CD2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7B03D7A1" w14:textId="5D742908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6BE5" w:rsidRPr="00F517A9">
      <w:rPr>
        <w:b/>
        <w:bCs/>
        <w:noProof/>
        <w:color w:val="452669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649E15D7" wp14:editId="1FB8B3B2">
              <wp:simplePos x="0" y="0"/>
              <wp:positionH relativeFrom="rightMargin">
                <wp:posOffset>57150</wp:posOffset>
              </wp:positionH>
              <wp:positionV relativeFrom="paragraph">
                <wp:posOffset>375920</wp:posOffset>
              </wp:positionV>
              <wp:extent cx="1578727" cy="0"/>
              <wp:effectExtent l="57150" t="57150" r="78740" b="76200"/>
              <wp:wrapNone/>
              <wp:docPr id="820487711" name="Straight Connector 4">
                <a:extLst xmlns:a="http://schemas.openxmlformats.org/drawingml/2006/main">
                  <a:ext uri="{FF2B5EF4-FFF2-40B4-BE49-F238E27FC236}">
                    <a16:creationId xmlns:a16="http://schemas.microsoft.com/office/drawing/2014/main" id="{70D360E9-673C-4293-AFF8-8BB96E7EFD7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8727" cy="0"/>
                      </a:xfrm>
                      <a:prstGeom prst="line">
                        <a:avLst/>
                      </a:prstGeom>
                      <a:ln w="127000" cap="rnd">
                        <a:solidFill>
                          <a:schemeClr val="accent3">
                            <a:lumMod val="40000"/>
                            <a:lumOff val="60000"/>
                            <a:alpha val="69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>
            <v:line w14:anchorId="61A38910" id="Straight Connector 4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from="4.5pt,29.6pt" to="128.8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" strokecolor="#e7d4e7 [1302]" strokeweight="10pt">
              <v:stroke opacity="45232f" joinstyle="miter" endcap="round"/>
              <w10:wrap anchorx="margin"/>
            </v:line>
          </w:pict>
        </mc:Fallback>
      </mc:AlternateContent>
    </w:r>
    <w:r w:rsidR="007B33BA">
      <w:rPr>
        <w:color w:val="452669" w:themeColor="accent1"/>
        <w:sz w:val="18"/>
        <w:szCs w:val="18"/>
      </w:rPr>
      <w:t xml:space="preserve">Office </w:t>
    </w:r>
    <w:r w:rsidR="004E6BE5" w:rsidRPr="003228DB">
      <w:rPr>
        <w:color w:val="452669" w:themeColor="accent1"/>
        <w:sz w:val="18"/>
        <w:szCs w:val="18"/>
      </w:rPr>
      <w:t>of the Inspector-General of Aged Care</w:t>
    </w:r>
    <w:r w:rsidR="004E6BE5" w:rsidRPr="003228DB">
      <w:rPr>
        <w:b/>
        <w:bCs/>
        <w:color w:val="452669" w:themeColor="accent1"/>
        <w:sz w:val="18"/>
        <w:szCs w:val="18"/>
      </w:rPr>
      <w:t xml:space="preserve"> </w:t>
    </w:r>
    <w:r w:rsidR="00430C14">
      <w:rPr>
        <w:b/>
        <w:bCs/>
        <w:color w:val="452669" w:themeColor="accent1"/>
        <w:sz w:val="18"/>
        <w:szCs w:val="18"/>
      </w:rPr>
      <w:t xml:space="preserve">| Approach to the </w:t>
    </w:r>
    <w:r w:rsidR="005D5ABC" w:rsidRPr="00A82EA5">
      <w:rPr>
        <w:b/>
        <w:bCs/>
        <w:color w:val="452669" w:themeColor="accent1"/>
        <w:sz w:val="18"/>
        <w:szCs w:val="18"/>
        <w:lang w:val="en-US"/>
      </w:rPr>
      <w:t>review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 xml:space="preserve"> of the Commonwealth’s </w:t>
    </w:r>
    <w:r w:rsidR="00430C14">
      <w:rPr>
        <w:b/>
        <w:bCs/>
        <w:color w:val="452669" w:themeColor="accent1"/>
        <w:sz w:val="18"/>
        <w:szCs w:val="18"/>
        <w:lang w:val="en-US"/>
      </w:rPr>
      <w:t>i</w:t>
    </w:r>
    <w:r w:rsidR="00430C14" w:rsidRPr="00A82EA5">
      <w:rPr>
        <w:b/>
        <w:bCs/>
        <w:color w:val="452669" w:themeColor="accent1"/>
        <w:sz w:val="18"/>
        <w:szCs w:val="18"/>
        <w:lang w:val="en-US"/>
      </w:rPr>
      <w:t xml:space="preserve">mplementation 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 xml:space="preserve">of the Aged Care Royal Commission </w:t>
    </w:r>
    <w:r w:rsidR="00430C14">
      <w:rPr>
        <w:b/>
        <w:bCs/>
        <w:color w:val="452669" w:themeColor="accent1"/>
        <w:sz w:val="18"/>
        <w:szCs w:val="18"/>
        <w:lang w:val="en-US"/>
      </w:rPr>
      <w:t>r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>ecommendations</w:t>
    </w:r>
    <w:r w:rsidR="004E6BE5">
      <w:rPr>
        <w:b/>
        <w:bCs/>
        <w:sz w:val="18"/>
        <w:szCs w:val="18"/>
      </w:rPr>
      <w:tab/>
    </w:r>
    <w:r w:rsidR="004E6BE5">
      <w:rPr>
        <w:b/>
        <w:bCs/>
        <w:sz w:val="18"/>
        <w:szCs w:val="18"/>
      </w:rPr>
      <w:tab/>
    </w:r>
    <w:r w:rsidR="004E6BE5" w:rsidRPr="003228DB">
      <w:rPr>
        <w:b/>
        <w:bCs/>
        <w:color w:val="452669" w:themeColor="accent1"/>
        <w:sz w:val="18"/>
        <w:szCs w:val="18"/>
      </w:rPr>
      <w:fldChar w:fldCharType="begin"/>
    </w:r>
    <w:r w:rsidR="004E6BE5" w:rsidRPr="003228DB">
      <w:rPr>
        <w:b/>
        <w:bCs/>
        <w:color w:val="452669" w:themeColor="accent1"/>
        <w:sz w:val="18"/>
        <w:szCs w:val="18"/>
      </w:rPr>
      <w:instrText>PAGE   \* MERGEFORMAT</w:instrText>
    </w:r>
    <w:r w:rsidR="004E6BE5" w:rsidRPr="003228DB">
      <w:rPr>
        <w:b/>
        <w:bCs/>
        <w:color w:val="452669" w:themeColor="accent1"/>
        <w:sz w:val="18"/>
        <w:szCs w:val="18"/>
      </w:rPr>
      <w:fldChar w:fldCharType="separate"/>
    </w:r>
    <w:r w:rsidR="004E6BE5">
      <w:rPr>
        <w:b/>
        <w:bCs/>
        <w:color w:val="452669" w:themeColor="accent1"/>
        <w:sz w:val="18"/>
        <w:szCs w:val="18"/>
      </w:rPr>
      <w:t>0</w:t>
    </w:r>
    <w:r w:rsidR="004E6BE5" w:rsidRPr="003228DB">
      <w:rPr>
        <w:b/>
        <w:bCs/>
        <w:color w:val="452669" w:themeColor="accent1"/>
        <w:sz w:val="18"/>
        <w:szCs w:val="18"/>
      </w:rPr>
      <w:fldChar w:fldCharType="end"/>
    </w:r>
    <w:r w:rsidR="004E6BE5" w:rsidRPr="00F517A9">
      <w:rPr>
        <w:noProof/>
      </w:rPr>
      <w:t xml:space="preserve"> </w:t>
    </w:r>
    <w:r w:rsidR="004E6BE5"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0BD27E4C" wp14:editId="2543D9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18152781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1BBE85A-1842-49BA-8546-887F51D0CD3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82B90" w14:textId="567A4DC2" w:rsidR="004E6BE5" w:rsidRPr="00EA638B" w:rsidRDefault="004E6BE5" w:rsidP="004E6B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D27E4C" id="Text Box 4" o:spid="_x0000_s1030" type="#_x0000_t202" alt="OFFICIAL" style="position:absolute;margin-left:0;margin-top:0;width:49pt;height:30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DUj1je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54982B90" w14:textId="567A4DC2" w:rsidR="004E6BE5" w:rsidRPr="00EA638B" w:rsidRDefault="004E6BE5" w:rsidP="004E6B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3A94" w14:textId="6801C333" w:rsidR="00A70D6D" w:rsidRDefault="00570FED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A39750A" wp14:editId="03329702">
          <wp:simplePos x="0" y="0"/>
          <wp:positionH relativeFrom="column">
            <wp:posOffset>-961696</wp:posOffset>
          </wp:positionH>
          <wp:positionV relativeFrom="paragraph">
            <wp:posOffset>-94630</wp:posOffset>
          </wp:positionV>
          <wp:extent cx="7811492" cy="716712"/>
          <wp:effectExtent l="0" t="0" r="0" b="7620"/>
          <wp:wrapNone/>
          <wp:docPr id="1677138847" name="Picture 1677138847">
            <a:extLst xmlns:a="http://schemas.openxmlformats.org/drawingml/2006/main">
              <a:ext uri="{FF2B5EF4-FFF2-40B4-BE49-F238E27FC236}">
                <a16:creationId xmlns:a16="http://schemas.microsoft.com/office/drawing/2014/main" id="{03A2BB55-B8EA-4EAE-AE97-547FA3E4AE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35167" cy="737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205D" w14:textId="77777777" w:rsidR="009A243B" w:rsidRDefault="009A243B" w:rsidP="00AA3591">
      <w:pPr>
        <w:spacing w:after="0"/>
      </w:pPr>
      <w:r>
        <w:separator/>
      </w:r>
    </w:p>
  </w:footnote>
  <w:footnote w:type="continuationSeparator" w:id="0">
    <w:p w14:paraId="0DDE363B" w14:textId="77777777" w:rsidR="009A243B" w:rsidRDefault="009A243B" w:rsidP="00AA3591">
      <w:pPr>
        <w:spacing w:after="0"/>
      </w:pPr>
      <w:r>
        <w:continuationSeparator/>
      </w:r>
    </w:p>
  </w:footnote>
  <w:footnote w:type="continuationNotice" w:id="1">
    <w:p w14:paraId="62B52335" w14:textId="77777777" w:rsidR="009A243B" w:rsidRDefault="009A243B">
      <w:pPr>
        <w:spacing w:after="0"/>
      </w:pPr>
    </w:p>
  </w:footnote>
  <w:footnote w:id="2">
    <w:p w14:paraId="7253FCB8" w14:textId="00706693" w:rsidR="005C41A2" w:rsidRDefault="005C41A2" w:rsidP="005C41A2">
      <w:pPr>
        <w:pStyle w:val="FootnoteText"/>
      </w:pPr>
      <w:r>
        <w:rPr>
          <w:rStyle w:val="FootnoteReference"/>
        </w:rPr>
        <w:footnoteRef/>
      </w:r>
      <w:r>
        <w:t xml:space="preserve"> Inspector-General of Aged Care</w:t>
      </w:r>
      <w:r w:rsidRPr="00EE392F">
        <w:t xml:space="preserve"> (2025). </w:t>
      </w:r>
      <w:hyperlink r:id="rId1" w:history="1">
        <w:r w:rsidRPr="00E77BBF">
          <w:rPr>
            <w:rStyle w:val="Hyperlink"/>
            <w:i/>
            <w:iCs/>
          </w:rPr>
          <w:t>2025 progress report on the implementation of the recommendations of the Royal Commission into Aged Care Quality and Safety</w:t>
        </w:r>
      </w:hyperlink>
      <w:r w:rsidR="00FC42C1">
        <w:t xml:space="preserve">, p. </w:t>
      </w:r>
      <w:r w:rsidR="00041928">
        <w:t>6.</w:t>
      </w:r>
    </w:p>
  </w:footnote>
  <w:footnote w:id="3">
    <w:p w14:paraId="5EB2DE1E" w14:textId="28DF4F33" w:rsidR="00EC2131" w:rsidRDefault="00EC2131">
      <w:pPr>
        <w:pStyle w:val="FootnoteText"/>
      </w:pPr>
      <w:r>
        <w:rPr>
          <w:rStyle w:val="FootnoteReference"/>
        </w:rPr>
        <w:footnoteRef/>
      </w:r>
      <w:r>
        <w:t xml:space="preserve"> Inspector-General of Aged Care</w:t>
      </w:r>
      <w:r w:rsidRPr="00EE392F">
        <w:t xml:space="preserve"> (2025). </w:t>
      </w:r>
      <w:hyperlink r:id="rId2" w:history="1">
        <w:r w:rsidRPr="00E77BBF">
          <w:rPr>
            <w:rStyle w:val="Hyperlink"/>
            <w:i/>
            <w:iCs/>
          </w:rPr>
          <w:t>2025 progress report on the implementation of the recommendations of the Royal Commission into Aged Care Quality and Safety</w:t>
        </w:r>
      </w:hyperlink>
      <w:r>
        <w:t>, p. 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016C" w14:textId="611F18B6" w:rsidR="00FF075D" w:rsidRDefault="00F602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103F808" wp14:editId="57E10B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43472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D8CC979-44B9-4DEC-AB36-9B2E5A92603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CFDAB" w14:textId="081C7EC3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3F8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A7CFDAB" w14:textId="081C7EC3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0596" w14:textId="79C85831" w:rsidR="00CB36A7" w:rsidRDefault="007A575E">
    <w:pPr>
      <w:pStyle w:val="Header"/>
    </w:pPr>
    <w:r w:rsidRPr="00682C5A">
      <w:rPr>
        <w:noProof/>
        <w:color w:val="78226D" w:themeColor="accent4"/>
      </w:rPr>
      <mc:AlternateContent>
        <mc:Choice Requires="wpg">
          <w:drawing>
            <wp:anchor distT="0" distB="0" distL="114300" distR="114300" simplePos="0" relativeHeight="251658247" behindDoc="0" locked="0" layoutInCell="1" allowOverlap="1" wp14:anchorId="55293949" wp14:editId="11067F51">
              <wp:simplePos x="0" y="0"/>
              <wp:positionH relativeFrom="page">
                <wp:posOffset>-190870</wp:posOffset>
              </wp:positionH>
              <wp:positionV relativeFrom="paragraph">
                <wp:posOffset>122195</wp:posOffset>
              </wp:positionV>
              <wp:extent cx="2039091" cy="141597"/>
              <wp:effectExtent l="0" t="0" r="0" b="0"/>
              <wp:wrapNone/>
              <wp:docPr id="222260905" name="Group 44">
                <a:extLst xmlns:a="http://schemas.openxmlformats.org/drawingml/2006/main">
                  <a:ext uri="{FF2B5EF4-FFF2-40B4-BE49-F238E27FC236}">
                    <a16:creationId xmlns:a16="http://schemas.microsoft.com/office/drawing/2014/main" id="{F85F9FC5-C038-4314-9863-488B17DD7D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9091" cy="141597"/>
                        <a:chOff x="0" y="0"/>
                        <a:chExt cx="1459378" cy="101341"/>
                      </a:xfrm>
                    </wpg:grpSpPr>
                    <wps:wsp>
                      <wps:cNvPr id="1148893887" name="Free-form: Shape 1148893887"/>
                      <wps:cNvSpPr/>
                      <wps:spPr>
                        <a:xfrm>
                          <a:off x="708756" y="0"/>
                          <a:ext cx="750622" cy="101341"/>
                        </a:xfrm>
                        <a:custGeom>
                          <a:avLst/>
                          <a:gdLst>
                            <a:gd name="csX0" fmla="*/ 50734 w 750622"/>
                            <a:gd name="csY0" fmla="*/ 0 h 101341"/>
                            <a:gd name="csX1" fmla="*/ 699888 w 750622"/>
                            <a:gd name="csY1" fmla="*/ 0 h 101341"/>
                            <a:gd name="csX2" fmla="*/ 750622 w 750622"/>
                            <a:gd name="csY2" fmla="*/ 50671 h 101341"/>
                            <a:gd name="csX3" fmla="*/ 699888 w 750622"/>
                            <a:gd name="csY3" fmla="*/ 101341 h 101341"/>
                            <a:gd name="csX4" fmla="*/ 50734 w 750622"/>
                            <a:gd name="csY4" fmla="*/ 101341 h 101341"/>
                            <a:gd name="csX5" fmla="*/ 0 w 750622"/>
                            <a:gd name="csY5" fmla="*/ 50671 h 101341"/>
                            <a:gd name="csX6" fmla="*/ 50734 w 750622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750622" h="101341">
                              <a:moveTo>
                                <a:pt x="50734" y="0"/>
                              </a:moveTo>
                              <a:lnTo>
                                <a:pt x="699888" y="0"/>
                              </a:lnTo>
                              <a:cubicBezTo>
                                <a:pt x="727884" y="0"/>
                                <a:pt x="750622" y="22675"/>
                                <a:pt x="750622" y="50671"/>
                              </a:cubicBezTo>
                              <a:cubicBezTo>
                                <a:pt x="750622" y="78666"/>
                                <a:pt x="727884" y="101341"/>
                                <a:pt x="699888" y="101341"/>
                              </a:cubicBezTo>
                              <a:lnTo>
                                <a:pt x="50734" y="101341"/>
                              </a:lnTo>
                              <a:cubicBezTo>
                                <a:pt x="22739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739" y="0"/>
                                <a:pt x="5073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CC0DE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87208152" name="Free-form: Shape 587208152"/>
                      <wps:cNvSpPr/>
                      <wps:spPr>
                        <a:xfrm>
                          <a:off x="431714" y="0"/>
                          <a:ext cx="750622" cy="101341"/>
                        </a:xfrm>
                        <a:custGeom>
                          <a:avLst/>
                          <a:gdLst>
                            <a:gd name="csX0" fmla="*/ 50734 w 750622"/>
                            <a:gd name="csY0" fmla="*/ 0 h 101341"/>
                            <a:gd name="csX1" fmla="*/ 699888 w 750622"/>
                            <a:gd name="csY1" fmla="*/ 0 h 101341"/>
                            <a:gd name="csX2" fmla="*/ 750622 w 750622"/>
                            <a:gd name="csY2" fmla="*/ 50671 h 101341"/>
                            <a:gd name="csX3" fmla="*/ 699888 w 750622"/>
                            <a:gd name="csY3" fmla="*/ 101341 h 101341"/>
                            <a:gd name="csX4" fmla="*/ 50734 w 750622"/>
                            <a:gd name="csY4" fmla="*/ 101341 h 101341"/>
                            <a:gd name="csX5" fmla="*/ 0 w 750622"/>
                            <a:gd name="csY5" fmla="*/ 50671 h 101341"/>
                            <a:gd name="csX6" fmla="*/ 50734 w 750622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750622" h="101341">
                              <a:moveTo>
                                <a:pt x="50734" y="0"/>
                              </a:moveTo>
                              <a:lnTo>
                                <a:pt x="699888" y="0"/>
                              </a:lnTo>
                              <a:cubicBezTo>
                                <a:pt x="727884" y="0"/>
                                <a:pt x="750622" y="22675"/>
                                <a:pt x="750622" y="50671"/>
                              </a:cubicBezTo>
                              <a:cubicBezTo>
                                <a:pt x="750622" y="78666"/>
                                <a:pt x="727884" y="101341"/>
                                <a:pt x="699888" y="101341"/>
                              </a:cubicBezTo>
                              <a:lnTo>
                                <a:pt x="50734" y="101341"/>
                              </a:lnTo>
                              <a:cubicBezTo>
                                <a:pt x="22738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738" y="0"/>
                                <a:pt x="5073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B93C1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711248847" name="Free-form: Shape 1711248847"/>
                      <wps:cNvSpPr/>
                      <wps:spPr>
                        <a:xfrm>
                          <a:off x="0" y="0"/>
                          <a:ext cx="869635" cy="101341"/>
                        </a:xfrm>
                        <a:custGeom>
                          <a:avLst/>
                          <a:gdLst>
                            <a:gd name="csX0" fmla="*/ 50227 w 869635"/>
                            <a:gd name="csY0" fmla="*/ 0 h 101341"/>
                            <a:gd name="csX1" fmla="*/ 819408 w 869635"/>
                            <a:gd name="csY1" fmla="*/ 0 h 101341"/>
                            <a:gd name="csX2" fmla="*/ 869635 w 869635"/>
                            <a:gd name="csY2" fmla="*/ 50671 h 101341"/>
                            <a:gd name="csX3" fmla="*/ 819408 w 869635"/>
                            <a:gd name="csY3" fmla="*/ 101341 h 101341"/>
                            <a:gd name="csX4" fmla="*/ 50227 w 869635"/>
                            <a:gd name="csY4" fmla="*/ 101341 h 101341"/>
                            <a:gd name="csX5" fmla="*/ 0 w 869635"/>
                            <a:gd name="csY5" fmla="*/ 50671 h 101341"/>
                            <a:gd name="csX6" fmla="*/ 50227 w 869635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869635" h="101341">
                              <a:moveTo>
                                <a:pt x="50227" y="0"/>
                              </a:moveTo>
                              <a:lnTo>
                                <a:pt x="819408" y="0"/>
                              </a:lnTo>
                              <a:cubicBezTo>
                                <a:pt x="847150" y="0"/>
                                <a:pt x="869635" y="22675"/>
                                <a:pt x="869635" y="50671"/>
                              </a:cubicBezTo>
                              <a:cubicBezTo>
                                <a:pt x="869635" y="78666"/>
                                <a:pt x="847150" y="101341"/>
                                <a:pt x="819408" y="101341"/>
                              </a:cubicBezTo>
                              <a:lnTo>
                                <a:pt x="50227" y="101341"/>
                              </a:lnTo>
                              <a:cubicBezTo>
                                <a:pt x="22485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485" y="0"/>
                                <a:pt x="502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21770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>
            <v:group w14:anchorId="069027CF" id="Group 44" o:spid="_x0000_s1026" style="position:absolute;margin-left:-15.05pt;margin-top:9.6pt;width:160.55pt;height:11.15pt;z-index:251658247;mso-position-horizontal-relative:page" coordsize="14593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">
              <v:shape id="Free-form: Shape 1148893887" o:spid="_x0000_s1027" style="position:absolute;left:7087;width:7506;height:1013;visibility:visible;mso-wrap-style:square;v-text-anchor:top" coordsize="750622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" path="m50734,l699888,v27996,,50734,22675,50734,50671c750622,78666,727884,101341,699888,101341r-649154,c22739,101341,,78666,,50671,,22675,22739,,50734,xe" fillcolor="#dcc0de" stroked="f" strokeweight=".17589mm">
                <v:stroke joinstyle="miter"/>
                <v:path arrowok="t" o:connecttype="custom" o:connectlocs="50734,0;699888,0;750622,50671;699888,101341;50734,101341;0,50671;50734,0" o:connectangles="0,0,0,0,0,0,0"/>
              </v:shape>
              <v:shape id="Free-form: Shape 587208152" o:spid="_x0000_s1028" style="position:absolute;left:4317;width:7506;height:1013;visibility:visible;mso-wrap-style:square;v-text-anchor:top" coordsize="750622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" path="m50734,l699888,v27996,,50734,22675,50734,50671c750622,78666,727884,101341,699888,101341r-649154,c22738,101341,,78666,,50671,,22675,22738,,50734,xe" fillcolor="#cb93c1" stroked="f" strokeweight=".17589mm">
                <v:stroke joinstyle="miter"/>
                <v:path arrowok="t" o:connecttype="custom" o:connectlocs="50734,0;699888,0;750622,50671;699888,101341;50734,101341;0,50671;50734,0" o:connectangles="0,0,0,0,0,0,0"/>
              </v:shape>
              <v:shape id="Free-form: Shape 1711248847" o:spid="_x0000_s1029" style="position:absolute;width:8696;height:1013;visibility:visible;mso-wrap-style:square;v-text-anchor:top" coordsize="869635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" path="m50227,l819408,v27742,,50227,22675,50227,50671c869635,78666,847150,101341,819408,101341r-769181,c22485,101341,,78666,,50671,,22675,22485,,50227,xe" fillcolor="#821770" stroked="f" strokeweight=".17589mm">
                <v:stroke joinstyle="miter"/>
                <v:path arrowok="t" o:connecttype="custom" o:connectlocs="50227,0;819408,0;869635,50671;819408,101341;50227,101341;0,50671;50227,0" o:connectangles="0,0,0,0,0,0,0"/>
              </v:shape>
              <w10:wrap anchorx="page"/>
            </v:group>
          </w:pict>
        </mc:Fallback>
      </mc:AlternateContent>
    </w:r>
    <w:r w:rsidR="00F602FB">
      <w:rPr>
        <w:rFonts w:cs="Arial"/>
        <w:b/>
        <w:bCs/>
        <w:noProof/>
        <w:sz w:val="24"/>
        <w:szCs w:val="28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5580B52" wp14:editId="6B4E7B52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55318218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2CDB47C-A11C-41BC-9F56-8168C0060B9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4ACE8" w14:textId="755A2BE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80B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73B4ACE8" w14:textId="755A2BE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531B" w14:textId="3FB3EB66" w:rsidR="00A70D6D" w:rsidRDefault="002B0E9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082785" wp14:editId="5D6B1718">
          <wp:simplePos x="0" y="0"/>
          <wp:positionH relativeFrom="column">
            <wp:posOffset>-914400</wp:posOffset>
          </wp:positionH>
          <wp:positionV relativeFrom="paragraph">
            <wp:posOffset>-449390</wp:posOffset>
          </wp:positionV>
          <wp:extent cx="7567200" cy="1166400"/>
          <wp:effectExtent l="0" t="0" r="0" b="0"/>
          <wp:wrapNone/>
          <wp:docPr id="2014963129" name="Picture 2014963129">
            <a:extLst xmlns:a="http://schemas.openxmlformats.org/drawingml/2006/main">
              <a:ext uri="{FF2B5EF4-FFF2-40B4-BE49-F238E27FC236}">
                <a16:creationId xmlns:a16="http://schemas.microsoft.com/office/drawing/2014/main" id="{A174C092-4E9C-48CB-B358-2C920BB7C2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63129" name="Picture 20149631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2FB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9ABF13" wp14:editId="745A83E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7355875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F04CF38-44EE-44D1-A37E-797EE8C113A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55605" w14:textId="45C1F8A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ABF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OFFICIAL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n97tX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76055605" w14:textId="45C1F8A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F2F"/>
    <w:multiLevelType w:val="hybridMultilevel"/>
    <w:tmpl w:val="59CC4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63159"/>
    <w:multiLevelType w:val="hybridMultilevel"/>
    <w:tmpl w:val="B0FA0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D098E"/>
    <w:multiLevelType w:val="hybridMultilevel"/>
    <w:tmpl w:val="817C17C8"/>
    <w:lvl w:ilvl="0" w:tplc="0C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080D18AB"/>
    <w:multiLevelType w:val="hybridMultilevel"/>
    <w:tmpl w:val="5E3C8FF2"/>
    <w:lvl w:ilvl="0" w:tplc="C632E8EC">
      <w:start w:val="1"/>
      <w:numFmt w:val="bullet"/>
      <w:pStyle w:val="Dotpoint-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4444D"/>
    <w:multiLevelType w:val="hybridMultilevel"/>
    <w:tmpl w:val="E146F592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E5690"/>
    <w:multiLevelType w:val="hybridMultilevel"/>
    <w:tmpl w:val="1018EF8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E31D1E"/>
    <w:multiLevelType w:val="hybridMultilevel"/>
    <w:tmpl w:val="AF0E3E9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3A4B48"/>
    <w:multiLevelType w:val="hybridMultilevel"/>
    <w:tmpl w:val="9E140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C283E"/>
    <w:multiLevelType w:val="hybridMultilevel"/>
    <w:tmpl w:val="353481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07CEC"/>
    <w:multiLevelType w:val="multilevel"/>
    <w:tmpl w:val="91C6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BD536E"/>
    <w:multiLevelType w:val="hybridMultilevel"/>
    <w:tmpl w:val="49860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76758"/>
    <w:multiLevelType w:val="multilevel"/>
    <w:tmpl w:val="B0AA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3E097E"/>
    <w:multiLevelType w:val="hybridMultilevel"/>
    <w:tmpl w:val="B3F06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B2EC9"/>
    <w:multiLevelType w:val="hybridMultilevel"/>
    <w:tmpl w:val="BF6055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557FF"/>
    <w:multiLevelType w:val="hybridMultilevel"/>
    <w:tmpl w:val="9E74746A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39D43A99"/>
    <w:multiLevelType w:val="hybridMultilevel"/>
    <w:tmpl w:val="A2681C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A1F12"/>
    <w:multiLevelType w:val="hybridMultilevel"/>
    <w:tmpl w:val="BAA6EA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280987"/>
    <w:multiLevelType w:val="hybridMultilevel"/>
    <w:tmpl w:val="AAD2A6E0"/>
    <w:lvl w:ilvl="0" w:tplc="87E27182">
      <w:start w:val="1"/>
      <w:numFmt w:val="bullet"/>
      <w:pStyle w:val="Dotpoint-level2"/>
      <w:lvlText w:val=""/>
      <w:lvlJc w:val="left"/>
      <w:pPr>
        <w:ind w:left="111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42917F20"/>
    <w:multiLevelType w:val="hybridMultilevel"/>
    <w:tmpl w:val="F4D2D8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87F9A"/>
    <w:multiLevelType w:val="multilevel"/>
    <w:tmpl w:val="FFE82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24E0D"/>
    <w:multiLevelType w:val="hybridMultilevel"/>
    <w:tmpl w:val="0B10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E0E9D"/>
    <w:multiLevelType w:val="hybridMultilevel"/>
    <w:tmpl w:val="8B26B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C4079"/>
    <w:multiLevelType w:val="hybridMultilevel"/>
    <w:tmpl w:val="5CBAB6A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D24D7"/>
    <w:multiLevelType w:val="hybridMultilevel"/>
    <w:tmpl w:val="C44897B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2E1E9B"/>
    <w:multiLevelType w:val="hybridMultilevel"/>
    <w:tmpl w:val="A594B634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4206E"/>
    <w:multiLevelType w:val="hybridMultilevel"/>
    <w:tmpl w:val="FD6CB1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5429DC"/>
    <w:multiLevelType w:val="hybridMultilevel"/>
    <w:tmpl w:val="519AEC3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5636440"/>
    <w:multiLevelType w:val="hybridMultilevel"/>
    <w:tmpl w:val="6F908996"/>
    <w:lvl w:ilvl="0" w:tplc="A776CF90">
      <w:start w:val="1"/>
      <w:numFmt w:val="bullet"/>
      <w:pStyle w:val="Dotpoint-level3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8" w15:restartNumberingAfterBreak="0">
    <w:nsid w:val="67BE3EDE"/>
    <w:multiLevelType w:val="hybridMultilevel"/>
    <w:tmpl w:val="FCCEE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74B04"/>
    <w:multiLevelType w:val="hybridMultilevel"/>
    <w:tmpl w:val="39B2BC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95046"/>
    <w:multiLevelType w:val="hybridMultilevel"/>
    <w:tmpl w:val="AA2CEA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06845"/>
    <w:multiLevelType w:val="multilevel"/>
    <w:tmpl w:val="C336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4511DB3"/>
    <w:multiLevelType w:val="multilevel"/>
    <w:tmpl w:val="4278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0B7F1C"/>
    <w:multiLevelType w:val="multilevel"/>
    <w:tmpl w:val="5A3A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7A0EFB"/>
    <w:multiLevelType w:val="hybridMultilevel"/>
    <w:tmpl w:val="AEA6C3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6DA5D3B"/>
    <w:multiLevelType w:val="hybridMultilevel"/>
    <w:tmpl w:val="E16C8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75B18"/>
    <w:multiLevelType w:val="hybridMultilevel"/>
    <w:tmpl w:val="08BEA706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7" w15:restartNumberingAfterBreak="0">
    <w:nsid w:val="787A43F7"/>
    <w:multiLevelType w:val="hybridMultilevel"/>
    <w:tmpl w:val="A72830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2B7FF7"/>
    <w:multiLevelType w:val="hybridMultilevel"/>
    <w:tmpl w:val="F81E5FE8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9" w15:restartNumberingAfterBreak="0">
    <w:nsid w:val="7FC33C1D"/>
    <w:multiLevelType w:val="hybridMultilevel"/>
    <w:tmpl w:val="D5C0E7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440449">
    <w:abstractNumId w:val="27"/>
  </w:num>
  <w:num w:numId="2" w16cid:durableId="128404968">
    <w:abstractNumId w:val="3"/>
  </w:num>
  <w:num w:numId="3" w16cid:durableId="1366980877">
    <w:abstractNumId w:val="37"/>
  </w:num>
  <w:num w:numId="4" w16cid:durableId="1441681551">
    <w:abstractNumId w:val="25"/>
  </w:num>
  <w:num w:numId="5" w16cid:durableId="1451120461">
    <w:abstractNumId w:val="8"/>
  </w:num>
  <w:num w:numId="6" w16cid:durableId="1455175674">
    <w:abstractNumId w:val="7"/>
  </w:num>
  <w:num w:numId="7" w16cid:durableId="1474057900">
    <w:abstractNumId w:val="17"/>
  </w:num>
  <w:num w:numId="8" w16cid:durableId="1510636728">
    <w:abstractNumId w:val="26"/>
  </w:num>
  <w:num w:numId="9" w16cid:durableId="1762605859">
    <w:abstractNumId w:val="4"/>
  </w:num>
  <w:num w:numId="10" w16cid:durableId="1803841915">
    <w:abstractNumId w:val="20"/>
  </w:num>
  <w:num w:numId="11" w16cid:durableId="191916942">
    <w:abstractNumId w:val="28"/>
  </w:num>
  <w:num w:numId="12" w16cid:durableId="275136321">
    <w:abstractNumId w:val="16"/>
  </w:num>
  <w:num w:numId="13" w16cid:durableId="729962253">
    <w:abstractNumId w:val="10"/>
  </w:num>
  <w:num w:numId="14" w16cid:durableId="736171290">
    <w:abstractNumId w:val="34"/>
  </w:num>
  <w:num w:numId="15" w16cid:durableId="746459278">
    <w:abstractNumId w:val="0"/>
  </w:num>
  <w:num w:numId="16" w16cid:durableId="765855580">
    <w:abstractNumId w:val="24"/>
  </w:num>
  <w:num w:numId="17" w16cid:durableId="768309785">
    <w:abstractNumId w:val="12"/>
  </w:num>
  <w:num w:numId="18" w16cid:durableId="793862962">
    <w:abstractNumId w:val="21"/>
  </w:num>
  <w:num w:numId="19" w16cid:durableId="753430465">
    <w:abstractNumId w:val="2"/>
  </w:num>
  <w:num w:numId="20" w16cid:durableId="716396929">
    <w:abstractNumId w:val="1"/>
  </w:num>
  <w:num w:numId="21" w16cid:durableId="303705059">
    <w:abstractNumId w:val="22"/>
  </w:num>
  <w:num w:numId="22" w16cid:durableId="32928515">
    <w:abstractNumId w:val="39"/>
  </w:num>
  <w:num w:numId="23" w16cid:durableId="999311480">
    <w:abstractNumId w:val="36"/>
  </w:num>
  <w:num w:numId="24" w16cid:durableId="1342320652">
    <w:abstractNumId w:val="35"/>
  </w:num>
  <w:num w:numId="25" w16cid:durableId="1473281347">
    <w:abstractNumId w:val="14"/>
  </w:num>
  <w:num w:numId="26" w16cid:durableId="1915360729">
    <w:abstractNumId w:val="33"/>
  </w:num>
  <w:num w:numId="27" w16cid:durableId="1496071530">
    <w:abstractNumId w:val="9"/>
  </w:num>
  <w:num w:numId="28" w16cid:durableId="1052658046">
    <w:abstractNumId w:val="32"/>
  </w:num>
  <w:num w:numId="29" w16cid:durableId="1893467528">
    <w:abstractNumId w:val="19"/>
  </w:num>
  <w:num w:numId="30" w16cid:durableId="1507137489">
    <w:abstractNumId w:val="31"/>
  </w:num>
  <w:num w:numId="31" w16cid:durableId="1967806432">
    <w:abstractNumId w:val="11"/>
  </w:num>
  <w:num w:numId="32" w16cid:durableId="542064576">
    <w:abstractNumId w:val="13"/>
  </w:num>
  <w:num w:numId="33" w16cid:durableId="1173181057">
    <w:abstractNumId w:val="29"/>
  </w:num>
  <w:num w:numId="34" w16cid:durableId="1710646674">
    <w:abstractNumId w:val="30"/>
  </w:num>
  <w:num w:numId="35" w16cid:durableId="488055315">
    <w:abstractNumId w:val="38"/>
  </w:num>
  <w:num w:numId="36" w16cid:durableId="1003509268">
    <w:abstractNumId w:val="5"/>
  </w:num>
  <w:num w:numId="37" w16cid:durableId="1194264792">
    <w:abstractNumId w:val="18"/>
  </w:num>
  <w:num w:numId="38" w16cid:durableId="1890873446">
    <w:abstractNumId w:val="6"/>
  </w:num>
  <w:num w:numId="39" w16cid:durableId="520318565">
    <w:abstractNumId w:val="23"/>
  </w:num>
  <w:num w:numId="40" w16cid:durableId="16799680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91"/>
    <w:rsid w:val="00001603"/>
    <w:rsid w:val="00002649"/>
    <w:rsid w:val="0000684A"/>
    <w:rsid w:val="00007338"/>
    <w:rsid w:val="000147F6"/>
    <w:rsid w:val="000170D8"/>
    <w:rsid w:val="00022DC9"/>
    <w:rsid w:val="00023387"/>
    <w:rsid w:val="00032AF3"/>
    <w:rsid w:val="00041854"/>
    <w:rsid w:val="00041928"/>
    <w:rsid w:val="00042A9D"/>
    <w:rsid w:val="00051E29"/>
    <w:rsid w:val="00056B8D"/>
    <w:rsid w:val="00060CA1"/>
    <w:rsid w:val="00062563"/>
    <w:rsid w:val="000628C6"/>
    <w:rsid w:val="00064157"/>
    <w:rsid w:val="00072585"/>
    <w:rsid w:val="000734EA"/>
    <w:rsid w:val="000749F6"/>
    <w:rsid w:val="00077216"/>
    <w:rsid w:val="000803BA"/>
    <w:rsid w:val="00085286"/>
    <w:rsid w:val="000958D4"/>
    <w:rsid w:val="000A5895"/>
    <w:rsid w:val="000B1C07"/>
    <w:rsid w:val="000C42FA"/>
    <w:rsid w:val="000E5EEE"/>
    <w:rsid w:val="000E7A44"/>
    <w:rsid w:val="000F1CDF"/>
    <w:rsid w:val="0011492C"/>
    <w:rsid w:val="00130EAF"/>
    <w:rsid w:val="00131986"/>
    <w:rsid w:val="00134D14"/>
    <w:rsid w:val="00141DF3"/>
    <w:rsid w:val="001444CD"/>
    <w:rsid w:val="00147CDA"/>
    <w:rsid w:val="00147FF0"/>
    <w:rsid w:val="00151DE6"/>
    <w:rsid w:val="00153DEE"/>
    <w:rsid w:val="0015422A"/>
    <w:rsid w:val="00160274"/>
    <w:rsid w:val="001603AD"/>
    <w:rsid w:val="00162656"/>
    <w:rsid w:val="00164CC9"/>
    <w:rsid w:val="0016756F"/>
    <w:rsid w:val="001705C6"/>
    <w:rsid w:val="001713B2"/>
    <w:rsid w:val="00173F98"/>
    <w:rsid w:val="001750DA"/>
    <w:rsid w:val="0017700E"/>
    <w:rsid w:val="001855AB"/>
    <w:rsid w:val="001A4507"/>
    <w:rsid w:val="001A4928"/>
    <w:rsid w:val="001B07B8"/>
    <w:rsid w:val="001B7B4A"/>
    <w:rsid w:val="001C22EA"/>
    <w:rsid w:val="001C2692"/>
    <w:rsid w:val="001D29D8"/>
    <w:rsid w:val="001D5971"/>
    <w:rsid w:val="001E16B0"/>
    <w:rsid w:val="001E5D29"/>
    <w:rsid w:val="001F3130"/>
    <w:rsid w:val="001F3B63"/>
    <w:rsid w:val="00211187"/>
    <w:rsid w:val="002213A5"/>
    <w:rsid w:val="002300AD"/>
    <w:rsid w:val="0023077C"/>
    <w:rsid w:val="00231D06"/>
    <w:rsid w:val="00232B25"/>
    <w:rsid w:val="00235143"/>
    <w:rsid w:val="00244F8B"/>
    <w:rsid w:val="00264B76"/>
    <w:rsid w:val="002661B9"/>
    <w:rsid w:val="0027424D"/>
    <w:rsid w:val="002746C7"/>
    <w:rsid w:val="00275F1F"/>
    <w:rsid w:val="00280050"/>
    <w:rsid w:val="00281A0E"/>
    <w:rsid w:val="00292599"/>
    <w:rsid w:val="002955A5"/>
    <w:rsid w:val="00295E8C"/>
    <w:rsid w:val="002A0C72"/>
    <w:rsid w:val="002A527E"/>
    <w:rsid w:val="002B0E93"/>
    <w:rsid w:val="002B1416"/>
    <w:rsid w:val="002C0989"/>
    <w:rsid w:val="002C0F42"/>
    <w:rsid w:val="002C1062"/>
    <w:rsid w:val="002C47CD"/>
    <w:rsid w:val="002C651C"/>
    <w:rsid w:val="002D4470"/>
    <w:rsid w:val="002D752D"/>
    <w:rsid w:val="002E489F"/>
    <w:rsid w:val="002F1825"/>
    <w:rsid w:val="002F46BD"/>
    <w:rsid w:val="002F7DDD"/>
    <w:rsid w:val="0030320C"/>
    <w:rsid w:val="00305A1D"/>
    <w:rsid w:val="0030636F"/>
    <w:rsid w:val="003119E6"/>
    <w:rsid w:val="003151A0"/>
    <w:rsid w:val="00324A0B"/>
    <w:rsid w:val="00324DD0"/>
    <w:rsid w:val="003332CB"/>
    <w:rsid w:val="003368F9"/>
    <w:rsid w:val="00345831"/>
    <w:rsid w:val="00355B2D"/>
    <w:rsid w:val="00364CE3"/>
    <w:rsid w:val="00371C77"/>
    <w:rsid w:val="00380AFE"/>
    <w:rsid w:val="003852DE"/>
    <w:rsid w:val="00387D62"/>
    <w:rsid w:val="00391674"/>
    <w:rsid w:val="0039299B"/>
    <w:rsid w:val="003A4275"/>
    <w:rsid w:val="003A5AD6"/>
    <w:rsid w:val="003A7C33"/>
    <w:rsid w:val="003B28EE"/>
    <w:rsid w:val="003B3DAE"/>
    <w:rsid w:val="003C1BC8"/>
    <w:rsid w:val="003C463C"/>
    <w:rsid w:val="003D3CCD"/>
    <w:rsid w:val="003D5BFD"/>
    <w:rsid w:val="003E0A9C"/>
    <w:rsid w:val="003E2A70"/>
    <w:rsid w:val="003F03C6"/>
    <w:rsid w:val="003F3CF7"/>
    <w:rsid w:val="00400B15"/>
    <w:rsid w:val="00403B7D"/>
    <w:rsid w:val="00412756"/>
    <w:rsid w:val="00412E56"/>
    <w:rsid w:val="00413F51"/>
    <w:rsid w:val="00417ED8"/>
    <w:rsid w:val="004251F8"/>
    <w:rsid w:val="00430C14"/>
    <w:rsid w:val="0043199B"/>
    <w:rsid w:val="004456C1"/>
    <w:rsid w:val="00451F82"/>
    <w:rsid w:val="004524C8"/>
    <w:rsid w:val="00457A64"/>
    <w:rsid w:val="004707A4"/>
    <w:rsid w:val="004750D3"/>
    <w:rsid w:val="00483B84"/>
    <w:rsid w:val="00485136"/>
    <w:rsid w:val="00486684"/>
    <w:rsid w:val="00494F3D"/>
    <w:rsid w:val="004A403D"/>
    <w:rsid w:val="004A771A"/>
    <w:rsid w:val="004B305C"/>
    <w:rsid w:val="004C1EDB"/>
    <w:rsid w:val="004C282E"/>
    <w:rsid w:val="004C2F34"/>
    <w:rsid w:val="004C77F3"/>
    <w:rsid w:val="004D048F"/>
    <w:rsid w:val="004E6BE5"/>
    <w:rsid w:val="004E6EE9"/>
    <w:rsid w:val="004F009A"/>
    <w:rsid w:val="004F02EF"/>
    <w:rsid w:val="004F1773"/>
    <w:rsid w:val="004F5278"/>
    <w:rsid w:val="004F6DEE"/>
    <w:rsid w:val="00501D6A"/>
    <w:rsid w:val="00510F4E"/>
    <w:rsid w:val="005130A3"/>
    <w:rsid w:val="00525707"/>
    <w:rsid w:val="005367E7"/>
    <w:rsid w:val="005440C8"/>
    <w:rsid w:val="005458A5"/>
    <w:rsid w:val="00553F0B"/>
    <w:rsid w:val="005565B0"/>
    <w:rsid w:val="00562E30"/>
    <w:rsid w:val="00570FED"/>
    <w:rsid w:val="00571E29"/>
    <w:rsid w:val="0057298C"/>
    <w:rsid w:val="00572F68"/>
    <w:rsid w:val="00576640"/>
    <w:rsid w:val="00586C55"/>
    <w:rsid w:val="005904E8"/>
    <w:rsid w:val="00590DF4"/>
    <w:rsid w:val="005975E4"/>
    <w:rsid w:val="005A194B"/>
    <w:rsid w:val="005A1CBA"/>
    <w:rsid w:val="005A26D7"/>
    <w:rsid w:val="005B4364"/>
    <w:rsid w:val="005C2149"/>
    <w:rsid w:val="005C33F4"/>
    <w:rsid w:val="005C41A2"/>
    <w:rsid w:val="005C5FE4"/>
    <w:rsid w:val="005D1ADB"/>
    <w:rsid w:val="005D5ABC"/>
    <w:rsid w:val="005D5BAE"/>
    <w:rsid w:val="005E1039"/>
    <w:rsid w:val="005E1B6E"/>
    <w:rsid w:val="005F2547"/>
    <w:rsid w:val="005F4802"/>
    <w:rsid w:val="005F4DA6"/>
    <w:rsid w:val="005F65CD"/>
    <w:rsid w:val="006003F7"/>
    <w:rsid w:val="00600D7E"/>
    <w:rsid w:val="0060706E"/>
    <w:rsid w:val="006107CF"/>
    <w:rsid w:val="00612C1E"/>
    <w:rsid w:val="00613700"/>
    <w:rsid w:val="0061398F"/>
    <w:rsid w:val="00630779"/>
    <w:rsid w:val="00634C94"/>
    <w:rsid w:val="0064049B"/>
    <w:rsid w:val="0064536A"/>
    <w:rsid w:val="00650841"/>
    <w:rsid w:val="00653C6C"/>
    <w:rsid w:val="00670A64"/>
    <w:rsid w:val="00671BFA"/>
    <w:rsid w:val="00675DA6"/>
    <w:rsid w:val="00676400"/>
    <w:rsid w:val="00676ECE"/>
    <w:rsid w:val="00683129"/>
    <w:rsid w:val="00693925"/>
    <w:rsid w:val="00694479"/>
    <w:rsid w:val="00695EC8"/>
    <w:rsid w:val="006A2A8E"/>
    <w:rsid w:val="006A77C4"/>
    <w:rsid w:val="006B4F03"/>
    <w:rsid w:val="006C3522"/>
    <w:rsid w:val="006C3B14"/>
    <w:rsid w:val="006D4D59"/>
    <w:rsid w:val="006D77E5"/>
    <w:rsid w:val="006E2D11"/>
    <w:rsid w:val="006E37C0"/>
    <w:rsid w:val="006E5A47"/>
    <w:rsid w:val="006E60A6"/>
    <w:rsid w:val="006F4E06"/>
    <w:rsid w:val="007129F2"/>
    <w:rsid w:val="007137AF"/>
    <w:rsid w:val="00733A5C"/>
    <w:rsid w:val="00736DAF"/>
    <w:rsid w:val="0074690A"/>
    <w:rsid w:val="00753BF0"/>
    <w:rsid w:val="0076353B"/>
    <w:rsid w:val="00766354"/>
    <w:rsid w:val="00766B41"/>
    <w:rsid w:val="00770693"/>
    <w:rsid w:val="00770B26"/>
    <w:rsid w:val="007752F6"/>
    <w:rsid w:val="00777B27"/>
    <w:rsid w:val="0078387D"/>
    <w:rsid w:val="00783C13"/>
    <w:rsid w:val="007864BF"/>
    <w:rsid w:val="0079072B"/>
    <w:rsid w:val="00790DEA"/>
    <w:rsid w:val="0079568C"/>
    <w:rsid w:val="00795DFE"/>
    <w:rsid w:val="007A4558"/>
    <w:rsid w:val="007A575E"/>
    <w:rsid w:val="007B33BA"/>
    <w:rsid w:val="007B400B"/>
    <w:rsid w:val="007B421F"/>
    <w:rsid w:val="007B7A39"/>
    <w:rsid w:val="007B7ABA"/>
    <w:rsid w:val="007C2906"/>
    <w:rsid w:val="007D0024"/>
    <w:rsid w:val="007D08CC"/>
    <w:rsid w:val="007E0A30"/>
    <w:rsid w:val="007E156A"/>
    <w:rsid w:val="007E5FCA"/>
    <w:rsid w:val="007F1CD1"/>
    <w:rsid w:val="007F6120"/>
    <w:rsid w:val="00804503"/>
    <w:rsid w:val="00823E30"/>
    <w:rsid w:val="00824951"/>
    <w:rsid w:val="00831CDF"/>
    <w:rsid w:val="00834466"/>
    <w:rsid w:val="00837FBF"/>
    <w:rsid w:val="0084111C"/>
    <w:rsid w:val="00841888"/>
    <w:rsid w:val="0084287C"/>
    <w:rsid w:val="00844D5F"/>
    <w:rsid w:val="00860920"/>
    <w:rsid w:val="00861B88"/>
    <w:rsid w:val="00874EF3"/>
    <w:rsid w:val="00880B64"/>
    <w:rsid w:val="008820CB"/>
    <w:rsid w:val="00884072"/>
    <w:rsid w:val="00886A4B"/>
    <w:rsid w:val="008907FD"/>
    <w:rsid w:val="0089239E"/>
    <w:rsid w:val="00897110"/>
    <w:rsid w:val="008A462C"/>
    <w:rsid w:val="008B2C5D"/>
    <w:rsid w:val="008B472F"/>
    <w:rsid w:val="008B5F9F"/>
    <w:rsid w:val="008B6AA8"/>
    <w:rsid w:val="008C3391"/>
    <w:rsid w:val="008D0D2D"/>
    <w:rsid w:val="008D4E18"/>
    <w:rsid w:val="008D540A"/>
    <w:rsid w:val="008D6D79"/>
    <w:rsid w:val="008E41FD"/>
    <w:rsid w:val="008F23E4"/>
    <w:rsid w:val="008F2930"/>
    <w:rsid w:val="008F659C"/>
    <w:rsid w:val="008F6926"/>
    <w:rsid w:val="00904739"/>
    <w:rsid w:val="00906150"/>
    <w:rsid w:val="009061F0"/>
    <w:rsid w:val="00907B5E"/>
    <w:rsid w:val="00910FF8"/>
    <w:rsid w:val="009129A7"/>
    <w:rsid w:val="00917B09"/>
    <w:rsid w:val="0092019F"/>
    <w:rsid w:val="009212A9"/>
    <w:rsid w:val="00921553"/>
    <w:rsid w:val="00932D08"/>
    <w:rsid w:val="009347E0"/>
    <w:rsid w:val="00937033"/>
    <w:rsid w:val="00942193"/>
    <w:rsid w:val="00962247"/>
    <w:rsid w:val="00963E6E"/>
    <w:rsid w:val="00984733"/>
    <w:rsid w:val="009926F4"/>
    <w:rsid w:val="00993AEC"/>
    <w:rsid w:val="00995020"/>
    <w:rsid w:val="009A019A"/>
    <w:rsid w:val="009A180D"/>
    <w:rsid w:val="009A243B"/>
    <w:rsid w:val="009B04E3"/>
    <w:rsid w:val="009B4DBA"/>
    <w:rsid w:val="009C0270"/>
    <w:rsid w:val="009C25DB"/>
    <w:rsid w:val="009E0E76"/>
    <w:rsid w:val="009E528D"/>
    <w:rsid w:val="009E689C"/>
    <w:rsid w:val="009F0BA1"/>
    <w:rsid w:val="009F75B9"/>
    <w:rsid w:val="00A04290"/>
    <w:rsid w:val="00A056B9"/>
    <w:rsid w:val="00A07A81"/>
    <w:rsid w:val="00A14798"/>
    <w:rsid w:val="00A17761"/>
    <w:rsid w:val="00A30336"/>
    <w:rsid w:val="00A3236F"/>
    <w:rsid w:val="00A41C26"/>
    <w:rsid w:val="00A44A29"/>
    <w:rsid w:val="00A50767"/>
    <w:rsid w:val="00A508E3"/>
    <w:rsid w:val="00A50DAB"/>
    <w:rsid w:val="00A52CCD"/>
    <w:rsid w:val="00A53172"/>
    <w:rsid w:val="00A55C2E"/>
    <w:rsid w:val="00A610C2"/>
    <w:rsid w:val="00A6359B"/>
    <w:rsid w:val="00A63949"/>
    <w:rsid w:val="00A70D6D"/>
    <w:rsid w:val="00A7674E"/>
    <w:rsid w:val="00A82EA5"/>
    <w:rsid w:val="00A86DD5"/>
    <w:rsid w:val="00A873DC"/>
    <w:rsid w:val="00A9391D"/>
    <w:rsid w:val="00A9619F"/>
    <w:rsid w:val="00A97CD5"/>
    <w:rsid w:val="00AA228B"/>
    <w:rsid w:val="00AA2F23"/>
    <w:rsid w:val="00AA3591"/>
    <w:rsid w:val="00AA4EBC"/>
    <w:rsid w:val="00AB0CF2"/>
    <w:rsid w:val="00AB13B2"/>
    <w:rsid w:val="00AB5572"/>
    <w:rsid w:val="00AC00BB"/>
    <w:rsid w:val="00AC00E5"/>
    <w:rsid w:val="00AC0C8A"/>
    <w:rsid w:val="00AC3655"/>
    <w:rsid w:val="00AC5110"/>
    <w:rsid w:val="00AC6420"/>
    <w:rsid w:val="00AD6A89"/>
    <w:rsid w:val="00AD7929"/>
    <w:rsid w:val="00AE4E1A"/>
    <w:rsid w:val="00AF09C1"/>
    <w:rsid w:val="00AF1FEE"/>
    <w:rsid w:val="00AF30C2"/>
    <w:rsid w:val="00AF6E27"/>
    <w:rsid w:val="00B11C67"/>
    <w:rsid w:val="00B14821"/>
    <w:rsid w:val="00B14F0C"/>
    <w:rsid w:val="00B2141B"/>
    <w:rsid w:val="00B2678F"/>
    <w:rsid w:val="00B26F8E"/>
    <w:rsid w:val="00B307E6"/>
    <w:rsid w:val="00B33CE5"/>
    <w:rsid w:val="00B400E8"/>
    <w:rsid w:val="00B476EB"/>
    <w:rsid w:val="00B564F2"/>
    <w:rsid w:val="00B5799B"/>
    <w:rsid w:val="00B60DAB"/>
    <w:rsid w:val="00B63A1E"/>
    <w:rsid w:val="00B65A18"/>
    <w:rsid w:val="00B7258D"/>
    <w:rsid w:val="00B84E41"/>
    <w:rsid w:val="00BA5616"/>
    <w:rsid w:val="00BA6175"/>
    <w:rsid w:val="00BB1F23"/>
    <w:rsid w:val="00BB24EC"/>
    <w:rsid w:val="00BB4C00"/>
    <w:rsid w:val="00BC660D"/>
    <w:rsid w:val="00BD3605"/>
    <w:rsid w:val="00BE0532"/>
    <w:rsid w:val="00BE5989"/>
    <w:rsid w:val="00BE688E"/>
    <w:rsid w:val="00BF6771"/>
    <w:rsid w:val="00C02F27"/>
    <w:rsid w:val="00C061C6"/>
    <w:rsid w:val="00C10CCD"/>
    <w:rsid w:val="00C13406"/>
    <w:rsid w:val="00C17712"/>
    <w:rsid w:val="00C24D27"/>
    <w:rsid w:val="00C251EE"/>
    <w:rsid w:val="00C35477"/>
    <w:rsid w:val="00C373FE"/>
    <w:rsid w:val="00C378B9"/>
    <w:rsid w:val="00C4280A"/>
    <w:rsid w:val="00C44647"/>
    <w:rsid w:val="00C46BA7"/>
    <w:rsid w:val="00C531BA"/>
    <w:rsid w:val="00C54E23"/>
    <w:rsid w:val="00C62DC5"/>
    <w:rsid w:val="00C66A5F"/>
    <w:rsid w:val="00C7334B"/>
    <w:rsid w:val="00C80CF6"/>
    <w:rsid w:val="00C84A38"/>
    <w:rsid w:val="00C864C0"/>
    <w:rsid w:val="00C8686E"/>
    <w:rsid w:val="00C918FB"/>
    <w:rsid w:val="00C933E5"/>
    <w:rsid w:val="00C94555"/>
    <w:rsid w:val="00CA12D0"/>
    <w:rsid w:val="00CA247B"/>
    <w:rsid w:val="00CB218C"/>
    <w:rsid w:val="00CB36A7"/>
    <w:rsid w:val="00CC062B"/>
    <w:rsid w:val="00CC19AD"/>
    <w:rsid w:val="00CD2DC8"/>
    <w:rsid w:val="00CD4C77"/>
    <w:rsid w:val="00CE022D"/>
    <w:rsid w:val="00CE1225"/>
    <w:rsid w:val="00CE3674"/>
    <w:rsid w:val="00CE68AD"/>
    <w:rsid w:val="00CE6A5B"/>
    <w:rsid w:val="00CE6B09"/>
    <w:rsid w:val="00CF718A"/>
    <w:rsid w:val="00D02B09"/>
    <w:rsid w:val="00D12CF1"/>
    <w:rsid w:val="00D17217"/>
    <w:rsid w:val="00D22826"/>
    <w:rsid w:val="00D25239"/>
    <w:rsid w:val="00D26C50"/>
    <w:rsid w:val="00D30FF0"/>
    <w:rsid w:val="00D32253"/>
    <w:rsid w:val="00D35CED"/>
    <w:rsid w:val="00D42C9D"/>
    <w:rsid w:val="00D45727"/>
    <w:rsid w:val="00D45FAB"/>
    <w:rsid w:val="00D46E3E"/>
    <w:rsid w:val="00D47472"/>
    <w:rsid w:val="00D52361"/>
    <w:rsid w:val="00D542F6"/>
    <w:rsid w:val="00D56348"/>
    <w:rsid w:val="00D64960"/>
    <w:rsid w:val="00D704BF"/>
    <w:rsid w:val="00D7404E"/>
    <w:rsid w:val="00D76C65"/>
    <w:rsid w:val="00D84472"/>
    <w:rsid w:val="00D97B62"/>
    <w:rsid w:val="00DA23A8"/>
    <w:rsid w:val="00DA34C7"/>
    <w:rsid w:val="00DA3515"/>
    <w:rsid w:val="00DC1995"/>
    <w:rsid w:val="00DC2A57"/>
    <w:rsid w:val="00DD19F3"/>
    <w:rsid w:val="00DD1B5E"/>
    <w:rsid w:val="00DD3E51"/>
    <w:rsid w:val="00DE10BB"/>
    <w:rsid w:val="00DE7956"/>
    <w:rsid w:val="00DF2BD1"/>
    <w:rsid w:val="00DF2DDB"/>
    <w:rsid w:val="00DF439A"/>
    <w:rsid w:val="00E008CB"/>
    <w:rsid w:val="00E00EBC"/>
    <w:rsid w:val="00E02DCB"/>
    <w:rsid w:val="00E03128"/>
    <w:rsid w:val="00E044CD"/>
    <w:rsid w:val="00E15386"/>
    <w:rsid w:val="00E253CF"/>
    <w:rsid w:val="00E259C2"/>
    <w:rsid w:val="00E306FB"/>
    <w:rsid w:val="00E42B76"/>
    <w:rsid w:val="00E42FB5"/>
    <w:rsid w:val="00E43134"/>
    <w:rsid w:val="00E43263"/>
    <w:rsid w:val="00E5149D"/>
    <w:rsid w:val="00E544DF"/>
    <w:rsid w:val="00E57CEE"/>
    <w:rsid w:val="00E66A8A"/>
    <w:rsid w:val="00E76712"/>
    <w:rsid w:val="00E77BBF"/>
    <w:rsid w:val="00E80081"/>
    <w:rsid w:val="00E850D1"/>
    <w:rsid w:val="00E8682C"/>
    <w:rsid w:val="00E91576"/>
    <w:rsid w:val="00E95A5F"/>
    <w:rsid w:val="00EB19D4"/>
    <w:rsid w:val="00EB27C6"/>
    <w:rsid w:val="00EC2131"/>
    <w:rsid w:val="00EC29B6"/>
    <w:rsid w:val="00EC39D5"/>
    <w:rsid w:val="00EC41FC"/>
    <w:rsid w:val="00EC729B"/>
    <w:rsid w:val="00ED013B"/>
    <w:rsid w:val="00ED79BF"/>
    <w:rsid w:val="00EE1DC9"/>
    <w:rsid w:val="00EE2AAA"/>
    <w:rsid w:val="00EE3804"/>
    <w:rsid w:val="00EF0223"/>
    <w:rsid w:val="00EF5C29"/>
    <w:rsid w:val="00EF77A7"/>
    <w:rsid w:val="00F000E5"/>
    <w:rsid w:val="00F035AC"/>
    <w:rsid w:val="00F1020B"/>
    <w:rsid w:val="00F10407"/>
    <w:rsid w:val="00F123F7"/>
    <w:rsid w:val="00F1454F"/>
    <w:rsid w:val="00F14D6C"/>
    <w:rsid w:val="00F17313"/>
    <w:rsid w:val="00F17F14"/>
    <w:rsid w:val="00F20946"/>
    <w:rsid w:val="00F262B9"/>
    <w:rsid w:val="00F36B4A"/>
    <w:rsid w:val="00F374D1"/>
    <w:rsid w:val="00F40AAC"/>
    <w:rsid w:val="00F41AA7"/>
    <w:rsid w:val="00F47280"/>
    <w:rsid w:val="00F47D40"/>
    <w:rsid w:val="00F51702"/>
    <w:rsid w:val="00F53867"/>
    <w:rsid w:val="00F5498F"/>
    <w:rsid w:val="00F56FE4"/>
    <w:rsid w:val="00F602FB"/>
    <w:rsid w:val="00F6308E"/>
    <w:rsid w:val="00F648F3"/>
    <w:rsid w:val="00F73589"/>
    <w:rsid w:val="00F77700"/>
    <w:rsid w:val="00F810E8"/>
    <w:rsid w:val="00F822EF"/>
    <w:rsid w:val="00F906C9"/>
    <w:rsid w:val="00FA506F"/>
    <w:rsid w:val="00FA7780"/>
    <w:rsid w:val="00FC21B6"/>
    <w:rsid w:val="00FC42C1"/>
    <w:rsid w:val="00FD06EB"/>
    <w:rsid w:val="00FD7D6A"/>
    <w:rsid w:val="00FE2999"/>
    <w:rsid w:val="00FE4017"/>
    <w:rsid w:val="00FF075D"/>
    <w:rsid w:val="044A3D0C"/>
    <w:rsid w:val="215AD7B3"/>
    <w:rsid w:val="25B07C23"/>
    <w:rsid w:val="2ABD1B14"/>
    <w:rsid w:val="2FE2D77E"/>
    <w:rsid w:val="306E0694"/>
    <w:rsid w:val="476DDA95"/>
    <w:rsid w:val="4C9D4288"/>
    <w:rsid w:val="4D0AB0B6"/>
    <w:rsid w:val="76D935B6"/>
    <w:rsid w:val="77BDBBFA"/>
    <w:rsid w:val="7BB7C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8AC07"/>
  <w15:chartTrackingRefBased/>
  <w15:docId w15:val="{00301137-F97A-4029-A281-C4117A02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A9D"/>
    <w:pPr>
      <w:spacing w:before="120" w:after="120" w:line="240" w:lineRule="auto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286"/>
    <w:pPr>
      <w:keepNext/>
      <w:keepLines/>
      <w:spacing w:before="240" w:after="0"/>
      <w:outlineLvl w:val="0"/>
    </w:pPr>
    <w:rPr>
      <w:rFonts w:eastAsiaTheme="majorEastAsia" w:cstheme="majorBidi"/>
      <w:b/>
      <w:color w:val="452669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286"/>
    <w:pPr>
      <w:keepNext/>
      <w:keepLines/>
      <w:spacing w:before="40" w:after="0"/>
      <w:outlineLvl w:val="1"/>
    </w:pPr>
    <w:rPr>
      <w:rFonts w:eastAsiaTheme="majorEastAsia" w:cstheme="majorBidi"/>
      <w:b/>
      <w:color w:val="452669" w:themeColor="text2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86A4B"/>
    <w:pPr>
      <w:outlineLvl w:val="2"/>
    </w:pPr>
    <w:rPr>
      <w:sz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F2547"/>
    <w:pPr>
      <w:outlineLvl w:val="3"/>
    </w:pPr>
    <w:rPr>
      <w:color w:val="452669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62B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31C4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3591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A3591"/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67640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1602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4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4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4EA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4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4EA"/>
    <w:rPr>
      <w:rFonts w:asciiTheme="minorHAnsi" w:hAnsiTheme="minorHAnsi"/>
      <w:b/>
      <w:bCs/>
      <w:sz w:val="20"/>
      <w:szCs w:val="20"/>
    </w:rPr>
  </w:style>
  <w:style w:type="paragraph" w:customStyle="1" w:styleId="paragraph">
    <w:name w:val="paragraph"/>
    <w:basedOn w:val="Normal"/>
    <w:rsid w:val="00FA778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eop">
    <w:name w:val="eop"/>
    <w:basedOn w:val="DefaultParagraphFont"/>
    <w:rsid w:val="00FA7780"/>
  </w:style>
  <w:style w:type="character" w:styleId="UnresolvedMention">
    <w:name w:val="Unresolved Mention"/>
    <w:basedOn w:val="DefaultParagraphFont"/>
    <w:uiPriority w:val="99"/>
    <w:unhideWhenUsed/>
    <w:rsid w:val="0002338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23387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85286"/>
    <w:rPr>
      <w:rFonts w:ascii="Calibri" w:eastAsiaTheme="majorEastAsia" w:hAnsi="Calibri" w:cstheme="majorBidi"/>
      <w:b/>
      <w:color w:val="452669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5286"/>
    <w:rPr>
      <w:rFonts w:ascii="Calibri" w:eastAsiaTheme="majorEastAsia" w:hAnsi="Calibri" w:cstheme="majorBidi"/>
      <w:b/>
      <w:color w:val="452669" w:themeColor="text2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6A4B"/>
    <w:rPr>
      <w:rFonts w:asciiTheme="minorHAnsi" w:eastAsiaTheme="majorEastAsia" w:hAnsiTheme="minorHAnsi" w:cstheme="majorBidi"/>
      <w:b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E3804"/>
    <w:rPr>
      <w:rFonts w:cs="Arial"/>
      <w:b/>
      <w:bCs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EE3804"/>
    <w:rPr>
      <w:rFonts w:ascii="Arial" w:hAnsi="Arial" w:cs="Arial"/>
      <w:b/>
      <w:bCs/>
      <w:sz w:val="72"/>
      <w:szCs w:val="96"/>
    </w:rPr>
  </w:style>
  <w:style w:type="character" w:customStyle="1" w:styleId="Heading4Char">
    <w:name w:val="Heading 4 Char"/>
    <w:basedOn w:val="DefaultParagraphFont"/>
    <w:link w:val="Heading4"/>
    <w:uiPriority w:val="9"/>
    <w:rsid w:val="005F2547"/>
    <w:rPr>
      <w:rFonts w:asciiTheme="minorHAnsi" w:eastAsiaTheme="majorEastAsia" w:hAnsiTheme="minorHAnsi" w:cstheme="majorBidi"/>
      <w:b/>
      <w:color w:val="452669" w:themeColor="accent1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2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85286"/>
    <w:rPr>
      <w:rFonts w:ascii="Calibri" w:eastAsiaTheme="minorEastAsia" w:hAnsi="Calibri" w:cstheme="minorBidi"/>
      <w:color w:val="5A5A5A" w:themeColor="text1" w:themeTint="A5"/>
      <w:spacing w:val="15"/>
      <w:szCs w:val="22"/>
    </w:rPr>
  </w:style>
  <w:style w:type="paragraph" w:customStyle="1" w:styleId="Dotpoint-Level1">
    <w:name w:val="Dot point - Level 1"/>
    <w:basedOn w:val="ListParagraph"/>
    <w:qFormat/>
    <w:rsid w:val="00E42B76"/>
    <w:pPr>
      <w:numPr>
        <w:numId w:val="2"/>
      </w:numPr>
      <w:ind w:left="454" w:hanging="227"/>
    </w:pPr>
  </w:style>
  <w:style w:type="paragraph" w:customStyle="1" w:styleId="Dotpoint-level2">
    <w:name w:val="Dot point - level 2"/>
    <w:basedOn w:val="Dotpoint-Level1"/>
    <w:qFormat/>
    <w:rsid w:val="00E42B76"/>
    <w:pPr>
      <w:numPr>
        <w:numId w:val="7"/>
      </w:numPr>
      <w:ind w:left="981" w:hanging="357"/>
    </w:pPr>
  </w:style>
  <w:style w:type="paragraph" w:customStyle="1" w:styleId="Dotpoint-level3">
    <w:name w:val="Dot point - level 3"/>
    <w:basedOn w:val="Dotpoint-level2"/>
    <w:qFormat/>
    <w:rsid w:val="00E42B76"/>
    <w:pPr>
      <w:numPr>
        <w:numId w:val="1"/>
      </w:numPr>
      <w:ind w:left="1378" w:hanging="357"/>
    </w:pPr>
  </w:style>
  <w:style w:type="paragraph" w:customStyle="1" w:styleId="acthead5">
    <w:name w:val="acthead5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charsectno">
    <w:name w:val="charsectno"/>
    <w:basedOn w:val="DefaultParagraphFont"/>
    <w:rsid w:val="00D76C65"/>
  </w:style>
  <w:style w:type="paragraph" w:customStyle="1" w:styleId="subsection">
    <w:name w:val="subsection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customStyle="1" w:styleId="subsectionhead">
    <w:name w:val="subsectionhead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5FAB"/>
    <w:pPr>
      <w:spacing w:before="0" w:after="0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5FAB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5FAB"/>
    <w:rPr>
      <w:vertAlign w:val="superscript"/>
    </w:rPr>
  </w:style>
  <w:style w:type="character" w:customStyle="1" w:styleId="Heading5Char">
    <w:name w:val="Heading 5 Char"/>
    <w:basedOn w:val="DefaultParagraphFont"/>
    <w:link w:val="Heading5"/>
    <w:uiPriority w:val="9"/>
    <w:rsid w:val="00F262B9"/>
    <w:rPr>
      <w:rFonts w:asciiTheme="majorHAnsi" w:eastAsiaTheme="majorEastAsia" w:hAnsiTheme="majorHAnsi" w:cstheme="majorBidi"/>
      <w:color w:val="331C4E" w:themeColor="accent1" w:themeShade="BF"/>
      <w:sz w:val="22"/>
    </w:rPr>
  </w:style>
  <w:style w:type="paragraph" w:styleId="Revision">
    <w:name w:val="Revision"/>
    <w:hidden/>
    <w:uiPriority w:val="99"/>
    <w:semiHidden/>
    <w:rsid w:val="00A9619F"/>
    <w:pPr>
      <w:spacing w:after="0" w:line="240" w:lineRule="auto"/>
    </w:pPr>
    <w:rPr>
      <w:rFonts w:ascii="Calibri" w:hAnsi="Calibri"/>
      <w:sz w:val="22"/>
    </w:rPr>
  </w:style>
  <w:style w:type="character" w:styleId="Hyperlink">
    <w:name w:val="Hyperlink"/>
    <w:basedOn w:val="DefaultParagraphFont"/>
    <w:uiPriority w:val="99"/>
    <w:unhideWhenUsed/>
    <w:rsid w:val="00164CC9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975E4"/>
    <w:pPr>
      <w:spacing w:line="259" w:lineRule="auto"/>
      <w:outlineLvl w:val="9"/>
    </w:pPr>
    <w:rPr>
      <w:rFonts w:asciiTheme="majorHAnsi" w:hAnsiTheme="majorHAnsi"/>
      <w:b w:val="0"/>
      <w:color w:val="331C4E" w:themeColor="accent1" w:themeShade="BF"/>
      <w:sz w:val="32"/>
      <w:lang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5975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975E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975E4"/>
    <w:pPr>
      <w:spacing w:after="100"/>
      <w:ind w:left="440"/>
    </w:pPr>
  </w:style>
  <w:style w:type="paragraph" w:styleId="NoSpacing">
    <w:name w:val="No Spacing"/>
    <w:uiPriority w:val="1"/>
    <w:qFormat/>
    <w:rsid w:val="009E0E76"/>
    <w:pPr>
      <w:spacing w:after="0" w:line="240" w:lineRule="auto"/>
    </w:pPr>
    <w:rPr>
      <w:rFonts w:ascii="Calibri" w:hAnsi="Calibri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66B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gac.gov.au/collections/2025-progress-report-inspector-general-aged-car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igac.gov.au/collections/2024-progress-report-inspector-general-aged-car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resources/publications/australian-government-response-to-the-final-report-of-the-royal-commission-into-aged-care-quality-and-safety?language=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ealth.gov.au/resources/publications/australian-government-response-to-the-final-report-of-the-royal-commission-into-aged-care-quality-and-safety?language=en" TargetMode="External"/><Relationship Id="rId1" Type="http://schemas.openxmlformats.org/officeDocument/2006/relationships/hyperlink" Target="https://www.health.gov.au/resources/publications/australian-government-response-to-the-final-report-of-the-royal-commission-into-aged-care-quality-and-safety?language=e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52669"/>
      </a:dk2>
      <a:lt2>
        <a:srgbClr val="E7E6E6"/>
      </a:lt2>
      <a:accent1>
        <a:srgbClr val="452669"/>
      </a:accent1>
      <a:accent2>
        <a:srgbClr val="59237B"/>
      </a:accent2>
      <a:accent3>
        <a:srgbClr val="C596C4"/>
      </a:accent3>
      <a:accent4>
        <a:srgbClr val="78226D"/>
      </a:accent4>
      <a:accent5>
        <a:srgbClr val="174F9A"/>
      </a:accent5>
      <a:accent6>
        <a:srgbClr val="D9493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c2291-e1b6-47ff-a130-ab60a193957d" xsi:nil="true"/>
    <lcf76f155ced4ddcb4097134ff3c332f xmlns="29d96d0e-e133-4b47-83df-43adca3dbbf0">
      <Terms xmlns="http://schemas.microsoft.com/office/infopath/2007/PartnerControls"/>
    </lcf76f155ced4ddcb4097134ff3c332f>
    <QAChecked xmlns="29d96d0e-e133-4b47-83df-43adca3dbbf0">true</QAChecked>
    <PersonResponsible xmlns="29d96d0e-e133-4b47-83df-43adca3dbbf0">
      <UserInfo>
        <DisplayName/>
        <AccountId xsi:nil="true"/>
        <AccountType/>
      </UserInfo>
    </PersonResponsible>
    <Policystatus xmlns="29d96d0e-e133-4b47-83df-43adca3dbbf0">Draft</Policystatus>
    <_Flow_SignoffStatus xmlns="29d96d0e-e133-4b47-83df-43adca3dbb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22" ma:contentTypeDescription="Create a new document." ma:contentTypeScope="" ma:versionID="332bb8b936b3b2a850cfd0356cb30013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fcd7ccc5b22df981533e77b52b3334f8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PersonResponsible" minOccurs="0"/>
                <xsd:element ref="ns2:Policystatus" minOccurs="0"/>
                <xsd:element ref="ns2:QAChecked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PersonResponsible" ma:index="1" nillable="true" ma:displayName="Person Responsible" ma:format="Dropdown" ma:list="UserInfo" ma:SharePointGroup="0" ma:internalName="PersonResponsibl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status" ma:index="2" nillable="true" ma:displayName="Policy status" ma:default="Draft" ma:format="Dropdown" ma:internalName="Policystatus" ma:readOnly="false">
      <xsd:simpleType>
        <xsd:restriction base="dms:Choice">
          <xsd:enumeration value="Draft"/>
          <xsd:enumeration value="In Review"/>
          <xsd:enumeration value="Clared"/>
        </xsd:restriction>
      </xsd:simpleType>
    </xsd:element>
    <xsd:element name="QAChecked" ma:index="3" nillable="true" ma:displayName="QA Checked" ma:default="1" ma:format="Dropdown" ma:internalName="QAChecked" ma:readOnly="false">
      <xsd:simpleType>
        <xsd:restriction base="dms:Boolean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cd581f37-7343-4c9d-a4e7-b2755210358a}" ma:internalName="TaxCatchAll" ma:readOnly="false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A0059-864B-429E-8C78-E921199D8702}">
  <ds:schemaRefs>
    <ds:schemaRef ds:uri="http://schemas.microsoft.com/office/2006/metadata/properties"/>
    <ds:schemaRef ds:uri="http://schemas.microsoft.com/office/infopath/2007/PartnerControls"/>
    <ds:schemaRef ds:uri="b43c2291-e1b6-47ff-a130-ab60a193957d"/>
    <ds:schemaRef ds:uri="29d96d0e-e133-4b47-83df-43adca3dbbf0"/>
  </ds:schemaRefs>
</ds:datastoreItem>
</file>

<file path=customXml/itemProps2.xml><?xml version="1.0" encoding="utf-8"?>
<ds:datastoreItem xmlns:ds="http://schemas.openxmlformats.org/officeDocument/2006/customXml" ds:itemID="{2B60411E-F07D-4D39-935B-D3D15D22C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F526A-496C-4A25-9AA8-B2AE001CC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96d0e-e133-4b47-83df-43adca3dbbf0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0E7661-4723-43C9-A23A-1F05BDB9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1453</Words>
  <Characters>8286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Links>
    <vt:vector size="30" baseType="variant">
      <vt:variant>
        <vt:i4>5242946</vt:i4>
      </vt:variant>
      <vt:variant>
        <vt:i4>6</vt:i4>
      </vt:variant>
      <vt:variant>
        <vt:i4>0</vt:i4>
      </vt:variant>
      <vt:variant>
        <vt:i4>5</vt:i4>
      </vt:variant>
      <vt:variant>
        <vt:lpwstr>https://www.igac.gov.au/collections/2025-progress-report-inspector-general-aged-care</vt:lpwstr>
      </vt:variant>
      <vt:variant>
        <vt:lpwstr/>
      </vt:variant>
      <vt:variant>
        <vt:i4>5308482</vt:i4>
      </vt:variant>
      <vt:variant>
        <vt:i4>3</vt:i4>
      </vt:variant>
      <vt:variant>
        <vt:i4>0</vt:i4>
      </vt:variant>
      <vt:variant>
        <vt:i4>5</vt:i4>
      </vt:variant>
      <vt:variant>
        <vt:lpwstr>https://www.igac.gov.au/collections/2024-progress-report-inspector-general-aged-care</vt:lpwstr>
      </vt:variant>
      <vt:variant>
        <vt:lpwstr/>
      </vt:variant>
      <vt:variant>
        <vt:i4>4325388</vt:i4>
      </vt:variant>
      <vt:variant>
        <vt:i4>0</vt:i4>
      </vt:variant>
      <vt:variant>
        <vt:i4>0</vt:i4>
      </vt:variant>
      <vt:variant>
        <vt:i4>5</vt:i4>
      </vt:variant>
      <vt:variant>
        <vt:lpwstr>https://www.health.gov.au/resources/publications/australian-government-response-to-the-final-report-of-the-royal-commission-into-aged-care-quality-and-safety?language=en</vt:lpwstr>
      </vt:variant>
      <vt:variant>
        <vt:lpwstr/>
      </vt:variant>
      <vt:variant>
        <vt:i4>4325388</vt:i4>
      </vt:variant>
      <vt:variant>
        <vt:i4>3</vt:i4>
      </vt:variant>
      <vt:variant>
        <vt:i4>0</vt:i4>
      </vt:variant>
      <vt:variant>
        <vt:i4>5</vt:i4>
      </vt:variant>
      <vt:variant>
        <vt:lpwstr>https://www.health.gov.au/resources/publications/australian-government-response-to-the-final-report-of-the-royal-commission-into-aged-care-quality-and-safety?language=en</vt:lpwstr>
      </vt:variant>
      <vt:variant>
        <vt:lpwstr/>
      </vt:variant>
      <vt:variant>
        <vt:i4>4325388</vt:i4>
      </vt:variant>
      <vt:variant>
        <vt:i4>0</vt:i4>
      </vt:variant>
      <vt:variant>
        <vt:i4>0</vt:i4>
      </vt:variant>
      <vt:variant>
        <vt:i4>5</vt:i4>
      </vt:variant>
      <vt:variant>
        <vt:lpwstr>https://www.health.gov.au/resources/publications/australian-government-response-to-the-final-report-of-the-royal-commission-into-aged-care-quality-and-safety?language=en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Approach to the review of the Commonwealth's implementation of the Aged Care Royal Commission's recommendations</dc:title>
  <dc:subject/>
  <dc:creator>HINE, Shay</dc:creator>
  <cp:keywords/>
  <dc:description/>
  <cp:lastModifiedBy>POPE, Kate</cp:lastModifiedBy>
  <cp:revision>2</cp:revision>
  <dcterms:created xsi:type="dcterms:W3CDTF">2026-10-13T05:22:00Z</dcterms:created>
  <dcterms:modified xsi:type="dcterms:W3CDTF">2026-10-13T05:22:00Z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0x01010036AB85DA16D2574DB76868267F841C32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74124ae3,73e46294,34c16ca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2739156b,16b3108e,29efec37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2026-01-22T04:13:56Z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a0727bd7-7f48-4211-ab23-3a291c09a57e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  <property fmtid="{D5CDD505-2E9C-101B-9397-08002B2CF9AE}" pid="19" name="QAChecked">
    <vt:bool>true</vt:bool>
  </property>
  <property fmtid="{D5CDD505-2E9C-101B-9397-08002B2CF9AE}" pid="20" name="PersonResponsible">
    <vt:lpwstr/>
  </property>
  <property fmtid="{D5CDD505-2E9C-101B-9397-08002B2CF9AE}" pid="21" name="Policystatus">
    <vt:lpwstr>Draft</vt:lpwstr>
  </property>
  <property fmtid="{D5CDD505-2E9C-101B-9397-08002B2CF9AE}" pid="22" name="Metadata">
    <vt:lpwstr/>
  </property>
</Properties>
</file>